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A6C25" w14:textId="2E4DE70E" w:rsidR="00F429CC" w:rsidRDefault="00F429CC" w:rsidP="00F429CC">
      <w:pPr>
        <w:pStyle w:val="mepsheader"/>
      </w:pPr>
      <w:r>
        <w:t xml:space="preserve">Open meeting skin substitute draft LCD </w:t>
      </w:r>
      <w:r w:rsidR="005E1AB3">
        <w:t>speaking points</w:t>
      </w:r>
    </w:p>
    <w:p w14:paraId="7F1385A1" w14:textId="542D1821" w:rsidR="00F429CC" w:rsidRDefault="005E1AB3" w:rsidP="00F429CC">
      <w:pPr>
        <w:pStyle w:val="mepsnormal"/>
      </w:pPr>
      <w:r>
        <w:t xml:space="preserve">Mark </w:t>
      </w:r>
      <w:r w:rsidR="00E049F9">
        <w:t xml:space="preserve">S. </w:t>
      </w:r>
      <w:r>
        <w:t>Block</w:t>
      </w:r>
      <w:r w:rsidR="00F429CC">
        <w:t xml:space="preserve">, </w:t>
      </w:r>
      <w:r w:rsidR="00E049F9">
        <w:t>DPM</w:t>
      </w:r>
    </w:p>
    <w:p w14:paraId="5C657F9E" w14:textId="77777777" w:rsidR="005E1AB3" w:rsidRDefault="005E1AB3" w:rsidP="005E1AB3">
      <w:pPr>
        <w:pStyle w:val="mepsnormal"/>
      </w:pPr>
      <w:r>
        <w:t>First Coast Service Options Podiatric Medicine and Surgery CAC member</w:t>
      </w:r>
    </w:p>
    <w:p w14:paraId="206B25BB" w14:textId="77777777" w:rsidR="005E1AB3" w:rsidRDefault="005E1AB3" w:rsidP="005E1AB3">
      <w:pPr>
        <w:pStyle w:val="mepsnormal"/>
      </w:pPr>
    </w:p>
    <w:p w14:paraId="7716CE00" w14:textId="3CDDB4BA" w:rsidR="005E1AB3" w:rsidRPr="005E1AB3" w:rsidRDefault="005E1AB3" w:rsidP="005E1AB3">
      <w:pPr>
        <w:pStyle w:val="mepsnormal"/>
        <w:rPr>
          <w:rStyle w:val="mepsbold"/>
        </w:rPr>
      </w:pPr>
      <w:r w:rsidRPr="005E1AB3">
        <w:rPr>
          <w:rStyle w:val="mepsbold"/>
        </w:rPr>
        <w:t>DL36377</w:t>
      </w:r>
    </w:p>
    <w:p w14:paraId="40E9BC6D" w14:textId="77777777" w:rsidR="005E1AB3" w:rsidRPr="005E1AB3" w:rsidRDefault="005E1AB3" w:rsidP="005E1AB3">
      <w:pPr>
        <w:pStyle w:val="mepsnormal"/>
      </w:pPr>
    </w:p>
    <w:p w14:paraId="61EE8720" w14:textId="77777777" w:rsidR="005E1AB3" w:rsidRPr="005E1AB3" w:rsidRDefault="005E1AB3" w:rsidP="005E1AB3">
      <w:pPr>
        <w:pStyle w:val="mepsnormal"/>
      </w:pPr>
      <w:r w:rsidRPr="005E1AB3">
        <w:t>Pg. 2/20</w:t>
      </w:r>
    </w:p>
    <w:p w14:paraId="16C2B530" w14:textId="77777777" w:rsidR="005E1AB3" w:rsidRPr="005E1AB3" w:rsidRDefault="005E1AB3" w:rsidP="005E1AB3">
      <w:pPr>
        <w:pStyle w:val="mepsnormal"/>
      </w:pPr>
    </w:p>
    <w:p w14:paraId="46ADAEC1" w14:textId="77777777" w:rsidR="005E1AB3" w:rsidRPr="005E1AB3" w:rsidRDefault="005E1AB3" w:rsidP="005E1AB3">
      <w:pPr>
        <w:pStyle w:val="mepsnormal"/>
      </w:pPr>
      <w:r w:rsidRPr="005E1AB3">
        <w:t>Coverage Guidance</w:t>
      </w:r>
    </w:p>
    <w:p w14:paraId="1016046C" w14:textId="77777777" w:rsidR="005E1AB3" w:rsidRPr="005E1AB3" w:rsidRDefault="005E1AB3" w:rsidP="005E1AB3">
      <w:pPr>
        <w:pStyle w:val="mepsnormal"/>
      </w:pPr>
    </w:p>
    <w:p w14:paraId="37B462B3" w14:textId="77777777" w:rsidR="005E1AB3" w:rsidRPr="005E1AB3" w:rsidRDefault="005E1AB3" w:rsidP="005E1AB3">
      <w:pPr>
        <w:pStyle w:val="mepsnormal"/>
      </w:pPr>
      <w:r w:rsidRPr="005E1AB3">
        <w:t>Coverage Indications, Limitations, and/or Medical Necessity</w:t>
      </w:r>
    </w:p>
    <w:p w14:paraId="1E3B4119" w14:textId="77777777" w:rsidR="005E1AB3" w:rsidRPr="005E1AB3" w:rsidRDefault="005E1AB3" w:rsidP="005E1AB3">
      <w:pPr>
        <w:pStyle w:val="mepsnormal"/>
      </w:pPr>
    </w:p>
    <w:p w14:paraId="623D2E47" w14:textId="77777777" w:rsidR="005E1AB3" w:rsidRPr="005E1AB3" w:rsidRDefault="005E1AB3" w:rsidP="005E1AB3">
      <w:pPr>
        <w:pStyle w:val="mepsnormal"/>
      </w:pPr>
      <w:r w:rsidRPr="005E1AB3">
        <w:t>Compliance with the provisions in this LCD may be monitored and addressed through post payment data analysis and subsequent medical review audits.</w:t>
      </w:r>
    </w:p>
    <w:p w14:paraId="60253D99" w14:textId="77777777" w:rsidR="005E1AB3" w:rsidRPr="005E1AB3" w:rsidRDefault="005E1AB3" w:rsidP="005E1AB3">
      <w:pPr>
        <w:pStyle w:val="mepsnormal"/>
      </w:pPr>
      <w:r w:rsidRPr="005E1AB3">
        <w:t>History/Background and/or General Information</w:t>
      </w:r>
    </w:p>
    <w:p w14:paraId="0FB8EE54" w14:textId="77777777" w:rsidR="005E1AB3" w:rsidRPr="005E1AB3" w:rsidRDefault="005E1AB3" w:rsidP="005E1AB3">
      <w:pPr>
        <w:pStyle w:val="mepsnormal"/>
      </w:pPr>
      <w:r w:rsidRPr="005E1AB3">
        <w:t>This LCD addresses the medically reasonable and necessary threshold for coverage of SKIN replacement surgery for application of SKIN substitute grafts for diabetic foot ulcers (DFUs) and venous leg ulcers (VLUs).</w:t>
      </w:r>
    </w:p>
    <w:p w14:paraId="449BB487" w14:textId="77777777" w:rsidR="005E1AB3" w:rsidRPr="005E1AB3" w:rsidRDefault="005E1AB3" w:rsidP="005E1AB3">
      <w:pPr>
        <w:pStyle w:val="mepsnormal"/>
      </w:pPr>
      <w:r w:rsidRPr="005E1AB3">
        <w:t>Application of SKIN substitute grafts for wound care indications other than for DFU or VLU are not addressed by this LCD. Use of SKIN substitute grafts must meet the medically reasonable and necessary threshold for coverage and these devices must be used in accordance with their approved United States (U.S.) Food and Drug Administration (FDA) intended use.</w:t>
      </w:r>
    </w:p>
    <w:p w14:paraId="246978BC" w14:textId="77777777" w:rsidR="005E1AB3" w:rsidRPr="005E1AB3" w:rsidRDefault="005E1AB3" w:rsidP="005E1AB3">
      <w:pPr>
        <w:pStyle w:val="mepsnormal"/>
      </w:pPr>
      <w:r w:rsidRPr="005E1AB3">
        <w:t>Chronic wounds of the lower extremities, including venous stasis ulcers, DFUs and pressure sores, are a major public health problem. While lower extremity ulcers have numerous causes such as burns, trauma, mixed venous-arterial disease, immobility, and vasculitis, nutritional or other neuropathy, over 90% of the lesions in the U.S. are related to venous stasis disease and diabetic neuropathy.</w:t>
      </w:r>
    </w:p>
    <w:p w14:paraId="7D498807" w14:textId="77777777" w:rsidR="005E1AB3" w:rsidRPr="005E1AB3" w:rsidRDefault="005E1AB3" w:rsidP="005E1AB3">
      <w:pPr>
        <w:pStyle w:val="mepsnormal"/>
      </w:pPr>
      <w:r w:rsidRPr="00BC792E">
        <w:t>Generally, depending on the purpose of the product and how it functions, SKIN substitutes are regulated by the FDA premarket approval (PMA) process, FDA 510(k) premarket notification process, or the FDA regulations for human cells, tissues, and cellular and tissue-based products (HCT/</w:t>
      </w:r>
      <w:proofErr w:type="gramStart"/>
      <w:r w:rsidRPr="00BC792E">
        <w:t>Ps)…</w:t>
      </w:r>
      <w:proofErr w:type="gramEnd"/>
      <w:r w:rsidRPr="00BC792E">
        <w:t>………………………………………………………………………………………………………………………</w:t>
      </w:r>
    </w:p>
    <w:p w14:paraId="08F47C8B" w14:textId="77777777" w:rsidR="005E1AB3" w:rsidRPr="005E1AB3" w:rsidRDefault="005E1AB3" w:rsidP="005E1AB3">
      <w:pPr>
        <w:pStyle w:val="mepsnormal"/>
      </w:pPr>
    </w:p>
    <w:p w14:paraId="265A87AF" w14:textId="77777777" w:rsidR="005E1AB3" w:rsidRPr="005E1AB3" w:rsidRDefault="005E1AB3" w:rsidP="005E1AB3">
      <w:pPr>
        <w:pStyle w:val="mepsnormal"/>
      </w:pPr>
    </w:p>
    <w:p w14:paraId="7A141E56" w14:textId="77777777" w:rsidR="005E1AB3" w:rsidRPr="005E1AB3" w:rsidRDefault="005E1AB3" w:rsidP="005E1AB3">
      <w:pPr>
        <w:pStyle w:val="mepsnormal"/>
      </w:pPr>
      <w:r w:rsidRPr="005E1AB3">
        <w:t>Pg. 3/20</w:t>
      </w:r>
    </w:p>
    <w:p w14:paraId="70DCBA4E" w14:textId="77777777" w:rsidR="005E1AB3" w:rsidRPr="005E1AB3" w:rsidRDefault="005E1AB3" w:rsidP="005E1AB3">
      <w:pPr>
        <w:pStyle w:val="mepsnormal"/>
      </w:pPr>
    </w:p>
    <w:p w14:paraId="5EE44648" w14:textId="77777777" w:rsidR="005E1AB3" w:rsidRPr="005E1AB3" w:rsidRDefault="005E1AB3" w:rsidP="005E1AB3">
      <w:pPr>
        <w:pStyle w:val="mepsnormal"/>
      </w:pPr>
      <w:r w:rsidRPr="005E1AB3">
        <w:t>Coverage Guidance (continued)</w:t>
      </w:r>
    </w:p>
    <w:p w14:paraId="76693369" w14:textId="77777777" w:rsidR="005E1AB3" w:rsidRPr="005E1AB3" w:rsidRDefault="005E1AB3" w:rsidP="005E1AB3">
      <w:pPr>
        <w:pStyle w:val="mepsnormal"/>
      </w:pPr>
    </w:p>
    <w:p w14:paraId="3CE63BA1" w14:textId="77777777" w:rsidR="005E1AB3" w:rsidRPr="005E1AB3" w:rsidRDefault="005E1AB3" w:rsidP="005E1AB3">
      <w:pPr>
        <w:pStyle w:val="mepsnormal"/>
      </w:pPr>
    </w:p>
    <w:p w14:paraId="678A6C53" w14:textId="77777777" w:rsidR="005E1AB3" w:rsidRPr="005E1AB3" w:rsidRDefault="005E1AB3" w:rsidP="005E1AB3">
      <w:pPr>
        <w:pStyle w:val="mepsnormal"/>
      </w:pPr>
      <w:r w:rsidRPr="00BC792E">
        <w:t>It is the expectation that a specific SKIN substitute graft product will be used for the episode of SKIN replacement surgery forwound care (defined as 12 weeks from the first application of a SKIN substitute graft) assuming its use is not in conflict with the FDA assessments (e.g., indications, contraindications, how supplied and directions for use, etc.) and/or the American Association of Tissue Banks (AATB) approved</w:t>
      </w:r>
      <w:r w:rsidRPr="005E1AB3">
        <w:t xml:space="preserve"> use and assuming there is one related wound. Repeat application of a Skin substitute graft within the 12-week episode of SKIN replacement surgery for wound care may be appropriate per the package insert based on wound re-assessment and must be supported in the medical record documentation for that encounter. Additional applications of a SKIN substitute product beyond the 12-week episode of SKIN replacement wound care are not expected if the wound has responded to the SKIN replacement surgery with epithelialization and other progression. This LCD does not endorse </w:t>
      </w:r>
      <w:proofErr w:type="gramStart"/>
      <w:r w:rsidRPr="005E1AB3">
        <w:t>particular products</w:t>
      </w:r>
      <w:proofErr w:type="gramEnd"/>
      <w:r w:rsidRPr="005E1AB3">
        <w:t xml:space="preserve"> for separate payment. The medical record documentation must support the medical necessity for SKIN replacement surgery and that the product is being used within its approved FDA indications.</w:t>
      </w:r>
    </w:p>
    <w:p w14:paraId="446A8804" w14:textId="77777777" w:rsidR="005E1AB3" w:rsidRPr="005E1AB3" w:rsidRDefault="005E1AB3" w:rsidP="005E1AB3">
      <w:pPr>
        <w:pStyle w:val="mepsnormal"/>
      </w:pPr>
    </w:p>
    <w:p w14:paraId="45F0CF74" w14:textId="77777777" w:rsidR="005E1AB3" w:rsidRPr="005E1AB3" w:rsidRDefault="005E1AB3" w:rsidP="005E1AB3">
      <w:pPr>
        <w:pStyle w:val="mepsnormal"/>
      </w:pPr>
    </w:p>
    <w:p w14:paraId="4253725A" w14:textId="77777777" w:rsidR="005E1AB3" w:rsidRPr="005E1AB3" w:rsidRDefault="005E1AB3" w:rsidP="005E1AB3">
      <w:pPr>
        <w:pStyle w:val="mepsnormal"/>
      </w:pPr>
      <w:r w:rsidRPr="005E1AB3">
        <w:t>Pg. 4/20</w:t>
      </w:r>
    </w:p>
    <w:p w14:paraId="1656BF0A" w14:textId="77777777" w:rsidR="005E1AB3" w:rsidRPr="005E1AB3" w:rsidRDefault="005E1AB3" w:rsidP="005E1AB3">
      <w:pPr>
        <w:pStyle w:val="mepsnormal"/>
      </w:pPr>
    </w:p>
    <w:p w14:paraId="18EB9C08" w14:textId="77777777" w:rsidR="005E1AB3" w:rsidRPr="005E1AB3" w:rsidRDefault="005E1AB3" w:rsidP="005E1AB3">
      <w:pPr>
        <w:pStyle w:val="mepsnormal"/>
      </w:pPr>
    </w:p>
    <w:p w14:paraId="21CD97A1" w14:textId="77777777" w:rsidR="005E1AB3" w:rsidRPr="005E1AB3" w:rsidRDefault="005E1AB3" w:rsidP="005E1AB3">
      <w:pPr>
        <w:pStyle w:val="mepsnormal"/>
      </w:pPr>
    </w:p>
    <w:p w14:paraId="673EC238" w14:textId="77777777" w:rsidR="005E1AB3" w:rsidRPr="005E1AB3" w:rsidRDefault="005E1AB3" w:rsidP="005E1AB3">
      <w:pPr>
        <w:pStyle w:val="mepsnormal"/>
      </w:pPr>
    </w:p>
    <w:p w14:paraId="6DADCA2A" w14:textId="77777777" w:rsidR="005E1AB3" w:rsidRPr="005E1AB3" w:rsidRDefault="005E1AB3" w:rsidP="005E1AB3">
      <w:pPr>
        <w:pStyle w:val="mepsnormal"/>
      </w:pPr>
    </w:p>
    <w:p w14:paraId="3F3195B5" w14:textId="77777777" w:rsidR="005E1AB3" w:rsidRPr="005E1AB3" w:rsidRDefault="005E1AB3" w:rsidP="005E1AB3">
      <w:pPr>
        <w:pStyle w:val="mepsnormal"/>
      </w:pPr>
    </w:p>
    <w:p w14:paraId="6C4922AF" w14:textId="77777777" w:rsidR="005E1AB3" w:rsidRPr="005E1AB3" w:rsidRDefault="005E1AB3" w:rsidP="005E1AB3">
      <w:pPr>
        <w:pStyle w:val="mepsnormal"/>
      </w:pPr>
    </w:p>
    <w:p w14:paraId="4CC47CEC" w14:textId="77777777" w:rsidR="005E1AB3" w:rsidRPr="005E1AB3" w:rsidRDefault="005E1AB3" w:rsidP="005E1AB3">
      <w:pPr>
        <w:pStyle w:val="mepsnormal"/>
      </w:pPr>
      <w:r w:rsidRPr="005E1AB3">
        <w:t>Covered Indications</w:t>
      </w:r>
    </w:p>
    <w:p w14:paraId="28F95290" w14:textId="77777777" w:rsidR="005E1AB3" w:rsidRPr="005E1AB3" w:rsidRDefault="005E1AB3" w:rsidP="005E1AB3">
      <w:pPr>
        <w:pStyle w:val="mepsnormal"/>
      </w:pPr>
    </w:p>
    <w:p w14:paraId="7FE11635" w14:textId="77777777" w:rsidR="005E1AB3" w:rsidRPr="005E1AB3" w:rsidRDefault="005E1AB3" w:rsidP="005E1AB3">
      <w:pPr>
        <w:pStyle w:val="mepsnormal"/>
      </w:pPr>
      <w:r w:rsidRPr="005E1AB3">
        <w:t>SKIN substitute grafts utilized per the approved FDA intended use.</w:t>
      </w:r>
    </w:p>
    <w:p w14:paraId="791DDC6C" w14:textId="77777777" w:rsidR="005E1AB3" w:rsidRPr="005E1AB3" w:rsidRDefault="005E1AB3" w:rsidP="005E1AB3">
      <w:pPr>
        <w:pStyle w:val="mepsnormal"/>
      </w:pPr>
    </w:p>
    <w:p w14:paraId="099E0E1A" w14:textId="77777777" w:rsidR="005E1AB3" w:rsidRPr="005E1AB3" w:rsidRDefault="005E1AB3" w:rsidP="005E1AB3">
      <w:pPr>
        <w:pStyle w:val="mepsnormal"/>
      </w:pPr>
    </w:p>
    <w:p w14:paraId="0F8FC075" w14:textId="77777777" w:rsidR="005E1AB3" w:rsidRPr="005E1AB3" w:rsidRDefault="005E1AB3" w:rsidP="005E1AB3">
      <w:pPr>
        <w:pStyle w:val="mepsnormal"/>
      </w:pPr>
      <w:proofErr w:type="spellStart"/>
      <w:r w:rsidRPr="005E1AB3">
        <w:t>Pg</w:t>
      </w:r>
      <w:proofErr w:type="spellEnd"/>
      <w:r w:rsidRPr="005E1AB3">
        <w:t xml:space="preserve"> 4/20</w:t>
      </w:r>
    </w:p>
    <w:p w14:paraId="18D70726" w14:textId="77777777" w:rsidR="005E1AB3" w:rsidRPr="005E1AB3" w:rsidRDefault="005E1AB3" w:rsidP="005E1AB3">
      <w:pPr>
        <w:pStyle w:val="mepsnormal"/>
      </w:pPr>
      <w:r w:rsidRPr="005E1AB3">
        <w:t>Limitations</w:t>
      </w:r>
    </w:p>
    <w:p w14:paraId="0C39EA97" w14:textId="77777777" w:rsidR="005E1AB3" w:rsidRPr="005E1AB3" w:rsidRDefault="005E1AB3" w:rsidP="005E1AB3">
      <w:pPr>
        <w:pStyle w:val="mepsnormal"/>
      </w:pPr>
    </w:p>
    <w:p w14:paraId="24E955A9" w14:textId="77777777" w:rsidR="005E1AB3" w:rsidRPr="005E1AB3" w:rsidRDefault="005E1AB3" w:rsidP="005E1AB3">
      <w:pPr>
        <w:pStyle w:val="mepsnormal"/>
      </w:pPr>
    </w:p>
    <w:p w14:paraId="2687EDB7" w14:textId="77777777" w:rsidR="005E1AB3" w:rsidRPr="005E1AB3" w:rsidRDefault="005E1AB3" w:rsidP="005E1AB3">
      <w:pPr>
        <w:pStyle w:val="mepsnormal"/>
      </w:pPr>
      <w:r w:rsidRPr="005E1AB3">
        <w:t>The following are considered not medically reasonable and necessary:</w:t>
      </w:r>
    </w:p>
    <w:p w14:paraId="47B75D99" w14:textId="77777777" w:rsidR="005E1AB3" w:rsidRPr="005E1AB3" w:rsidRDefault="005E1AB3" w:rsidP="005E1AB3">
      <w:pPr>
        <w:pStyle w:val="mepsnormal"/>
      </w:pPr>
    </w:p>
    <w:p w14:paraId="608E816F" w14:textId="77777777" w:rsidR="005E1AB3" w:rsidRPr="005E1AB3" w:rsidRDefault="005E1AB3" w:rsidP="005E1AB3">
      <w:pPr>
        <w:pStyle w:val="mepsnormal"/>
      </w:pPr>
      <w:r w:rsidRPr="005E1AB3">
        <w:t xml:space="preserve">  1. Greater than two applications of a specific SKIN substitute graft product within the episode of SKIN replacement </w:t>
      </w:r>
    </w:p>
    <w:p w14:paraId="56086AC5" w14:textId="77777777" w:rsidR="005E1AB3" w:rsidRPr="00BC792E" w:rsidRDefault="005E1AB3" w:rsidP="005E1AB3">
      <w:pPr>
        <w:pStyle w:val="mepsnormal"/>
      </w:pPr>
      <w:r w:rsidRPr="005E1AB3">
        <w:t xml:space="preserve">      </w:t>
      </w:r>
      <w:r w:rsidRPr="00BC792E">
        <w:t xml:space="preserve">surgery for wound care (defined as 12 weeks from the first application of a SKIN substitute graft).                                                                                                                                                                                                                                                                                          </w:t>
      </w:r>
    </w:p>
    <w:p w14:paraId="1BF4F38A" w14:textId="77777777" w:rsidR="005E1AB3" w:rsidRPr="00BC792E" w:rsidRDefault="005E1AB3" w:rsidP="005E1AB3">
      <w:pPr>
        <w:pStyle w:val="mepsnormal"/>
      </w:pPr>
      <w:r w:rsidRPr="00BC792E">
        <w:t>The expectation is treatment will consist of the fewest repeat applications and amount of product to heal the wound.   It is expected that products are used per the labeling. It is not expected that every ulcer, in every patient will   require the maximum number of applications listed on the product label. This utilization pattern may be subject to focused medical review.</w:t>
      </w:r>
    </w:p>
    <w:p w14:paraId="1F2FC529" w14:textId="77777777" w:rsidR="005E1AB3" w:rsidRPr="005E1AB3" w:rsidRDefault="005E1AB3" w:rsidP="005E1AB3">
      <w:pPr>
        <w:pStyle w:val="mepsnormal"/>
      </w:pPr>
    </w:p>
    <w:p w14:paraId="06AB6913" w14:textId="77777777" w:rsidR="005E1AB3" w:rsidRPr="005E1AB3" w:rsidRDefault="005E1AB3" w:rsidP="005E1AB3">
      <w:pPr>
        <w:pStyle w:val="mepsnormal"/>
      </w:pPr>
    </w:p>
    <w:p w14:paraId="78EAB3B3" w14:textId="77777777" w:rsidR="005E1AB3" w:rsidRPr="005E1AB3" w:rsidRDefault="005E1AB3" w:rsidP="005E1AB3">
      <w:pPr>
        <w:pStyle w:val="mepsnormal"/>
      </w:pPr>
      <w:proofErr w:type="spellStart"/>
      <w:r w:rsidRPr="005E1AB3">
        <w:t>Pg</w:t>
      </w:r>
      <w:proofErr w:type="spellEnd"/>
      <w:r w:rsidRPr="005E1AB3">
        <w:t xml:space="preserve"> 8-17/20</w:t>
      </w:r>
    </w:p>
    <w:p w14:paraId="5EFCC3E6" w14:textId="77777777" w:rsidR="005E1AB3" w:rsidRPr="005E1AB3" w:rsidRDefault="005E1AB3" w:rsidP="005E1AB3">
      <w:pPr>
        <w:pStyle w:val="mepsnormal"/>
      </w:pPr>
    </w:p>
    <w:p w14:paraId="21F441B9" w14:textId="77777777" w:rsidR="005E1AB3" w:rsidRPr="005E1AB3" w:rsidRDefault="005E1AB3" w:rsidP="005E1AB3">
      <w:pPr>
        <w:pStyle w:val="mepsnormal"/>
      </w:pPr>
      <w:r w:rsidRPr="005E1AB3">
        <w:t>Clinical Trials for SKIN Substitutes for Diabetic Foot Ulcer</w:t>
      </w:r>
    </w:p>
    <w:p w14:paraId="328A10A7" w14:textId="77777777" w:rsidR="005E1AB3" w:rsidRPr="005E1AB3" w:rsidRDefault="005E1AB3" w:rsidP="005E1AB3">
      <w:pPr>
        <w:pStyle w:val="mepsnormal"/>
      </w:pPr>
    </w:p>
    <w:p w14:paraId="75ADA437" w14:textId="77777777" w:rsidR="005E1AB3" w:rsidRPr="005E1AB3" w:rsidRDefault="005E1AB3" w:rsidP="005E1AB3">
      <w:pPr>
        <w:pStyle w:val="mepsnormal"/>
      </w:pPr>
      <w:proofErr w:type="spellStart"/>
      <w:r w:rsidRPr="005E1AB3">
        <w:t>Barbul</w:t>
      </w:r>
      <w:proofErr w:type="spellEnd"/>
      <w:r w:rsidRPr="005E1AB3">
        <w:t xml:space="preserve"> et al conducted a retrospective, matched-cohort study to establish the efficacy of a cryopreserved human bioactive split-thickness SKIN allograft (BSA) (i.e., </w:t>
      </w:r>
      <w:proofErr w:type="spellStart"/>
      <w:r w:rsidRPr="005E1AB3">
        <w:t>TheraSkin</w:t>
      </w:r>
      <w:proofErr w:type="spellEnd"/>
      <w:r w:rsidRPr="005E1AB3">
        <w:t>) plus SOC when contrasted to SOC alone for the treatment of diabetic ulcers.</w:t>
      </w:r>
    </w:p>
    <w:p w14:paraId="2181D21C" w14:textId="77777777" w:rsidR="005E1AB3" w:rsidRPr="005E1AB3" w:rsidRDefault="005E1AB3" w:rsidP="005E1AB3">
      <w:pPr>
        <w:pStyle w:val="mepsnormal"/>
      </w:pPr>
    </w:p>
    <w:p w14:paraId="0C664707" w14:textId="77777777" w:rsidR="005E1AB3" w:rsidRPr="005E1AB3" w:rsidRDefault="005E1AB3" w:rsidP="005E1AB3">
      <w:pPr>
        <w:pStyle w:val="mepsnormal"/>
      </w:pPr>
    </w:p>
    <w:p w14:paraId="4ABF9CA0" w14:textId="77777777" w:rsidR="005E1AB3" w:rsidRPr="005E1AB3" w:rsidRDefault="005E1AB3" w:rsidP="005E1AB3">
      <w:pPr>
        <w:pStyle w:val="mepsnormal"/>
      </w:pPr>
    </w:p>
    <w:p w14:paraId="33E89219" w14:textId="77777777" w:rsidR="005E1AB3" w:rsidRPr="005E1AB3" w:rsidRDefault="005E1AB3" w:rsidP="005E1AB3">
      <w:pPr>
        <w:pStyle w:val="mepsnormal"/>
      </w:pPr>
      <w:proofErr w:type="spellStart"/>
      <w:r w:rsidRPr="005E1AB3">
        <w:t>Cazzell</w:t>
      </w:r>
      <w:proofErr w:type="spellEnd"/>
      <w:r w:rsidRPr="005E1AB3">
        <w:t xml:space="preserve"> et al performed a prospective, randomized, controlled, open-label trial with a primary objective to contrast the healing rates of a human decellularized acellular dermal matrix (D-ADM) for chronic DFUs with a SOC arm and an active comparator, human acellular dermal matrix (ADM) arm for the treatment of DFUs. Secondary objectives </w:t>
      </w:r>
      <w:r w:rsidRPr="005E1AB3">
        <w:lastRenderedPageBreak/>
        <w:t>studied differences in time to wound closure, economic burden, quality of life questionnaires and product utilization between D-ADM, SOC, and a second active comparator human ADM.</w:t>
      </w:r>
    </w:p>
    <w:p w14:paraId="7C39991A" w14:textId="77777777" w:rsidR="005E1AB3" w:rsidRPr="005E1AB3" w:rsidRDefault="005E1AB3" w:rsidP="005E1AB3">
      <w:pPr>
        <w:pStyle w:val="mepsnormal"/>
      </w:pPr>
    </w:p>
    <w:p w14:paraId="48B37A59" w14:textId="77777777" w:rsidR="005E1AB3" w:rsidRPr="005E1AB3" w:rsidRDefault="005E1AB3" w:rsidP="005E1AB3">
      <w:pPr>
        <w:pStyle w:val="mepsnormal"/>
      </w:pPr>
    </w:p>
    <w:p w14:paraId="28698492" w14:textId="77777777" w:rsidR="005E1AB3" w:rsidRPr="005E1AB3" w:rsidRDefault="005E1AB3" w:rsidP="005E1AB3">
      <w:pPr>
        <w:pStyle w:val="mepsnormal"/>
      </w:pPr>
    </w:p>
    <w:p w14:paraId="730F9F84" w14:textId="77777777" w:rsidR="005E1AB3" w:rsidRPr="005E1AB3" w:rsidRDefault="005E1AB3" w:rsidP="005E1AB3">
      <w:pPr>
        <w:pStyle w:val="mepsnormal"/>
      </w:pPr>
      <w:r w:rsidRPr="005E1AB3">
        <w:t xml:space="preserve">Driver et al conducted The Foot Ulcer New Dermal Replacement Study (FOUNDER) to assess the safety and effectiveness of the Integra Dermal Regeneration Template (IDRT) (i.e., </w:t>
      </w:r>
      <w:proofErr w:type="spellStart"/>
      <w:r w:rsidRPr="005E1AB3">
        <w:t>Omnigraft</w:t>
      </w:r>
      <w:proofErr w:type="spellEnd"/>
      <w:r w:rsidRPr="005E1AB3">
        <w:t xml:space="preserve"> Dermal Regeneration Matrix) for the treatment of nonhealing DFUs.</w:t>
      </w:r>
    </w:p>
    <w:p w14:paraId="396779EC" w14:textId="77777777" w:rsidR="005E1AB3" w:rsidRPr="005E1AB3" w:rsidRDefault="005E1AB3" w:rsidP="005E1AB3">
      <w:pPr>
        <w:pStyle w:val="mepsnormal"/>
      </w:pPr>
    </w:p>
    <w:p w14:paraId="51BD2D06" w14:textId="77777777" w:rsidR="005E1AB3" w:rsidRPr="005E1AB3" w:rsidRDefault="005E1AB3" w:rsidP="005E1AB3">
      <w:pPr>
        <w:pStyle w:val="mepsnormal"/>
      </w:pPr>
    </w:p>
    <w:p w14:paraId="6175144C" w14:textId="77777777" w:rsidR="005E1AB3" w:rsidRPr="005E1AB3" w:rsidRDefault="005E1AB3" w:rsidP="005E1AB3">
      <w:pPr>
        <w:pStyle w:val="mepsnormal"/>
      </w:pPr>
    </w:p>
    <w:p w14:paraId="63988EA2" w14:textId="77777777" w:rsidR="005E1AB3" w:rsidRPr="005E1AB3" w:rsidRDefault="005E1AB3" w:rsidP="005E1AB3">
      <w:pPr>
        <w:pStyle w:val="mepsnormal"/>
      </w:pPr>
    </w:p>
    <w:p w14:paraId="6EA4D3AF" w14:textId="77777777" w:rsidR="005E1AB3" w:rsidRPr="005E1AB3" w:rsidRDefault="005E1AB3" w:rsidP="005E1AB3">
      <w:pPr>
        <w:pStyle w:val="mepsnormal"/>
      </w:pPr>
    </w:p>
    <w:p w14:paraId="4459E3EC" w14:textId="77777777" w:rsidR="005E1AB3" w:rsidRPr="005E1AB3" w:rsidRDefault="005E1AB3" w:rsidP="005E1AB3">
      <w:pPr>
        <w:pStyle w:val="mepsnormal"/>
      </w:pPr>
    </w:p>
    <w:p w14:paraId="4789BE9C" w14:textId="77777777" w:rsidR="005E1AB3" w:rsidRPr="005E1AB3" w:rsidRDefault="005E1AB3" w:rsidP="005E1AB3">
      <w:pPr>
        <w:pStyle w:val="mepsnormal"/>
      </w:pPr>
    </w:p>
    <w:p w14:paraId="0A623367" w14:textId="77777777" w:rsidR="005E1AB3" w:rsidRPr="005E1AB3" w:rsidRDefault="005E1AB3" w:rsidP="005E1AB3">
      <w:pPr>
        <w:pStyle w:val="mepsnormal"/>
      </w:pPr>
      <w:proofErr w:type="spellStart"/>
      <w:r w:rsidRPr="005E1AB3">
        <w:t>Lavery</w:t>
      </w:r>
      <w:proofErr w:type="spellEnd"/>
      <w:r w:rsidRPr="005E1AB3">
        <w:t xml:space="preserve"> et al performed a prospective, multi-center, randomized, single-blinded study to contrast the effectiveness of a human viable wound matrix (</w:t>
      </w:r>
      <w:proofErr w:type="spellStart"/>
      <w:r w:rsidRPr="005E1AB3">
        <w:t>hVWM</w:t>
      </w:r>
      <w:proofErr w:type="spellEnd"/>
      <w:r w:rsidRPr="005E1AB3">
        <w:t xml:space="preserve">) (i.e., </w:t>
      </w:r>
      <w:proofErr w:type="spellStart"/>
      <w:r w:rsidRPr="005E1AB3">
        <w:t>Grafix</w:t>
      </w:r>
      <w:proofErr w:type="spellEnd"/>
      <w:r w:rsidRPr="005E1AB3">
        <w:t>) to standard wound care in treating chronic DFUs from May 2012 to April2013.</w:t>
      </w:r>
    </w:p>
    <w:p w14:paraId="745AA9E4" w14:textId="77777777" w:rsidR="005E1AB3" w:rsidRPr="005E1AB3" w:rsidRDefault="005E1AB3" w:rsidP="005E1AB3">
      <w:pPr>
        <w:pStyle w:val="mepsnormal"/>
      </w:pPr>
    </w:p>
    <w:p w14:paraId="553487DD" w14:textId="77777777" w:rsidR="005E1AB3" w:rsidRPr="005E1AB3" w:rsidRDefault="005E1AB3" w:rsidP="005E1AB3">
      <w:pPr>
        <w:pStyle w:val="mepsnormal"/>
      </w:pPr>
    </w:p>
    <w:p w14:paraId="5B4D02D3" w14:textId="77777777" w:rsidR="005E1AB3" w:rsidRPr="005E1AB3" w:rsidRDefault="005E1AB3" w:rsidP="005E1AB3">
      <w:pPr>
        <w:pStyle w:val="mepsnormal"/>
      </w:pPr>
    </w:p>
    <w:p w14:paraId="347234D1" w14:textId="77777777" w:rsidR="005E1AB3" w:rsidRPr="005E1AB3" w:rsidRDefault="005E1AB3" w:rsidP="005E1AB3">
      <w:pPr>
        <w:pStyle w:val="mepsnormal"/>
      </w:pPr>
    </w:p>
    <w:p w14:paraId="1C60F970" w14:textId="77777777" w:rsidR="005E1AB3" w:rsidRPr="005E1AB3" w:rsidRDefault="005E1AB3" w:rsidP="005E1AB3">
      <w:pPr>
        <w:pStyle w:val="mepsnormal"/>
      </w:pPr>
    </w:p>
    <w:p w14:paraId="4F4E0A6A" w14:textId="77777777" w:rsidR="005E1AB3" w:rsidRPr="005E1AB3" w:rsidRDefault="005E1AB3" w:rsidP="005E1AB3">
      <w:pPr>
        <w:pStyle w:val="mepsnormal"/>
      </w:pPr>
    </w:p>
    <w:p w14:paraId="7FF25E58" w14:textId="77777777" w:rsidR="005E1AB3" w:rsidRPr="005E1AB3" w:rsidRDefault="005E1AB3" w:rsidP="005E1AB3">
      <w:pPr>
        <w:pStyle w:val="mepsnormal"/>
      </w:pPr>
    </w:p>
    <w:p w14:paraId="101A4E02" w14:textId="77777777" w:rsidR="005E1AB3" w:rsidRPr="005E1AB3" w:rsidRDefault="005E1AB3" w:rsidP="005E1AB3">
      <w:pPr>
        <w:pStyle w:val="mepsnormal"/>
      </w:pPr>
    </w:p>
    <w:p w14:paraId="5C2F55E7" w14:textId="77777777" w:rsidR="005E1AB3" w:rsidRPr="005E1AB3" w:rsidRDefault="005E1AB3" w:rsidP="005E1AB3">
      <w:pPr>
        <w:pStyle w:val="mepsnormal"/>
      </w:pPr>
      <w:r w:rsidRPr="005E1AB3">
        <w:t xml:space="preserve">Sanders et al performed a prospective, multi-center, randomized, controlled trial to contrast an in vitro-engineered, </w:t>
      </w:r>
      <w:proofErr w:type="spellStart"/>
      <w:r w:rsidRPr="005E1AB3">
        <w:t>humanfibroblast</w:t>
      </w:r>
      <w:proofErr w:type="spellEnd"/>
      <w:r w:rsidRPr="005E1AB3">
        <w:t xml:space="preserve">-derived dermal SKIN substitute (HFDS) (i.e., </w:t>
      </w:r>
      <w:proofErr w:type="spellStart"/>
      <w:r w:rsidRPr="005E1AB3">
        <w:t>Dermagraft</w:t>
      </w:r>
      <w:proofErr w:type="spellEnd"/>
      <w:r w:rsidRPr="005E1AB3">
        <w:t xml:space="preserve">) to a biologically active cryopreserved human SKIN allograft (HSA) (i.e., </w:t>
      </w:r>
      <w:proofErr w:type="spellStart"/>
      <w:r w:rsidRPr="005E1AB3">
        <w:t>TheraSkin</w:t>
      </w:r>
      <w:proofErr w:type="spellEnd"/>
      <w:r w:rsidRPr="005E1AB3">
        <w:t xml:space="preserve">) in the treatment of DFUs. The primary objectives were to establish the relative number of DFUs healed (100% epithelization without drainage) and </w:t>
      </w:r>
      <w:r w:rsidRPr="00BC792E">
        <w:t>the number of grafts needed by week 12.</w:t>
      </w:r>
      <w:r w:rsidRPr="005E1AB3">
        <w:t xml:space="preserve"> Secondary objectives involved the percentage of DFUs healed at weeks 16 and 20, time to heal during the study and wound size progression.</w:t>
      </w:r>
    </w:p>
    <w:p w14:paraId="1EFF5B15" w14:textId="77777777" w:rsidR="005E1AB3" w:rsidRPr="005E1AB3" w:rsidRDefault="005E1AB3" w:rsidP="005E1AB3">
      <w:pPr>
        <w:pStyle w:val="mepsnormal"/>
      </w:pPr>
    </w:p>
    <w:p w14:paraId="4555F824" w14:textId="77777777" w:rsidR="005E1AB3" w:rsidRPr="005E1AB3" w:rsidRDefault="005E1AB3" w:rsidP="005E1AB3">
      <w:pPr>
        <w:pStyle w:val="mepsnormal"/>
      </w:pPr>
      <w:proofErr w:type="spellStart"/>
      <w:r w:rsidRPr="005E1AB3">
        <w:t>Zelen</w:t>
      </w:r>
      <w:proofErr w:type="spellEnd"/>
      <w:r w:rsidRPr="005E1AB3">
        <w:t xml:space="preserve"> et al performed a prospective, randomized, controlled, multicenter study to evaluate the healing rates, safety, and cost using an open-structure human reticular acellular dermis matrix (HR-ADM) (i.e., </w:t>
      </w:r>
      <w:proofErr w:type="spellStart"/>
      <w:r w:rsidRPr="005E1AB3">
        <w:t>AlloPatch</w:t>
      </w:r>
      <w:proofErr w:type="spellEnd"/>
      <w:r w:rsidRPr="005E1AB3">
        <w:t xml:space="preserve"> Pliable™) plus SOC to facilitate wound closure in DFUs compared to treatment with SOC alone.</w:t>
      </w:r>
    </w:p>
    <w:p w14:paraId="0E1D49CF" w14:textId="77777777" w:rsidR="005E1AB3" w:rsidRPr="005E1AB3" w:rsidRDefault="005E1AB3" w:rsidP="005E1AB3">
      <w:pPr>
        <w:pStyle w:val="mepsnormal"/>
      </w:pPr>
    </w:p>
    <w:p w14:paraId="14A53DAE" w14:textId="77777777" w:rsidR="005E1AB3" w:rsidRPr="005E1AB3" w:rsidRDefault="005E1AB3" w:rsidP="005E1AB3">
      <w:pPr>
        <w:pStyle w:val="mepsnormal"/>
      </w:pPr>
      <w:proofErr w:type="spellStart"/>
      <w:r w:rsidRPr="005E1AB3">
        <w:t>Cazzell</w:t>
      </w:r>
      <w:proofErr w:type="spellEnd"/>
      <w:r w:rsidRPr="005E1AB3">
        <w:t xml:space="preserve"> conducted a multicenter, randomized, controlled, open-label trial designed to evaluate the safety and efficacy of human decellularized acellular dermal matrices (D-ADM) contrasted with SOC management in patients with chronic VLUs.</w:t>
      </w:r>
    </w:p>
    <w:p w14:paraId="223BE786" w14:textId="77777777" w:rsidR="005E1AB3" w:rsidRPr="005E1AB3" w:rsidRDefault="005E1AB3" w:rsidP="005E1AB3">
      <w:pPr>
        <w:pStyle w:val="mepsnormal"/>
      </w:pPr>
    </w:p>
    <w:p w14:paraId="6F2DB2B4" w14:textId="77777777" w:rsidR="005E1AB3" w:rsidRPr="005E1AB3" w:rsidRDefault="005E1AB3" w:rsidP="005E1AB3">
      <w:pPr>
        <w:pStyle w:val="mepsnormal"/>
      </w:pPr>
      <w:r w:rsidRPr="005E1AB3">
        <w:t xml:space="preserve">Harding et al conducted an open label, prospective, multicenter, randomized controlled study that assessed the human fibroblast-derived dermal substitute (HFDS) (i.e., </w:t>
      </w:r>
      <w:proofErr w:type="spellStart"/>
      <w:r w:rsidRPr="005E1AB3">
        <w:t>Dermagraft</w:t>
      </w:r>
      <w:proofErr w:type="spellEnd"/>
      <w:r w:rsidRPr="005E1AB3">
        <w:t>) in addition to four-layer compression therapy contrasted with compression therapy alone in the treatment of VLUs.</w:t>
      </w:r>
    </w:p>
    <w:p w14:paraId="472D97FB" w14:textId="77777777" w:rsidR="005E1AB3" w:rsidRPr="005E1AB3" w:rsidRDefault="005E1AB3" w:rsidP="005E1AB3">
      <w:pPr>
        <w:pStyle w:val="mepsnormal"/>
      </w:pPr>
    </w:p>
    <w:p w14:paraId="3B2C43F0" w14:textId="77777777" w:rsidR="005E1AB3" w:rsidRPr="005E1AB3" w:rsidRDefault="005E1AB3" w:rsidP="005E1AB3">
      <w:pPr>
        <w:pStyle w:val="mepsnormal"/>
      </w:pPr>
    </w:p>
    <w:p w14:paraId="2C371A2B" w14:textId="77777777" w:rsidR="005E1AB3" w:rsidRPr="005E1AB3" w:rsidRDefault="005E1AB3" w:rsidP="005E1AB3">
      <w:pPr>
        <w:pStyle w:val="mepsnormal"/>
      </w:pPr>
      <w:r w:rsidRPr="005E1AB3">
        <w:t>Pg. 17/20</w:t>
      </w:r>
    </w:p>
    <w:p w14:paraId="58F39E24" w14:textId="77777777" w:rsidR="005E1AB3" w:rsidRPr="005E1AB3" w:rsidRDefault="005E1AB3" w:rsidP="005E1AB3">
      <w:pPr>
        <w:pStyle w:val="mepsnormal"/>
      </w:pPr>
    </w:p>
    <w:p w14:paraId="15069F9A" w14:textId="77777777" w:rsidR="005E1AB3" w:rsidRPr="00BC792E" w:rsidRDefault="005E1AB3" w:rsidP="005E1AB3">
      <w:pPr>
        <w:pStyle w:val="mepsnormal"/>
      </w:pPr>
      <w:r w:rsidRPr="00BC792E">
        <w:t>Analysis of Evidence (Rationale for Determination)</w:t>
      </w:r>
    </w:p>
    <w:p w14:paraId="3A25863A" w14:textId="77777777" w:rsidR="005E1AB3" w:rsidRPr="005E1AB3" w:rsidRDefault="005E1AB3" w:rsidP="005E1AB3">
      <w:pPr>
        <w:pStyle w:val="mepsnormal"/>
      </w:pPr>
      <w:r w:rsidRPr="00BC792E">
        <w:t>Despite the lack of studies, the</w:t>
      </w:r>
      <w:r w:rsidRPr="005E1AB3">
        <w:t xml:space="preserve"> moderate to low quality of current research and the likelihood of bias, coverage has been provided to increase the chances of improved health outcomes of interest which include patient quality of life and function. Coverage will be provided for products in the associated billing and coding guideline meeting the necessary FDA regulatory requirements as of publication. Each product has specific designated approved usage</w:t>
      </w:r>
    </w:p>
    <w:p w14:paraId="4C9B2A26" w14:textId="77777777" w:rsidR="005E1AB3" w:rsidRPr="005E1AB3" w:rsidRDefault="005E1AB3" w:rsidP="005E1AB3">
      <w:pPr>
        <w:pStyle w:val="mepsnormal"/>
      </w:pPr>
    </w:p>
    <w:p w14:paraId="77ACCDCA" w14:textId="77777777" w:rsidR="005E1AB3" w:rsidRPr="005E1AB3" w:rsidRDefault="005E1AB3" w:rsidP="005E1AB3">
      <w:pPr>
        <w:pStyle w:val="mepsnormal"/>
      </w:pPr>
    </w:p>
    <w:p w14:paraId="3B5FC45B" w14:textId="77777777" w:rsidR="005E1AB3" w:rsidRPr="005E1AB3" w:rsidRDefault="005E1AB3" w:rsidP="005E1AB3">
      <w:pPr>
        <w:pStyle w:val="mepsnormal"/>
      </w:pPr>
    </w:p>
    <w:p w14:paraId="63FCA834" w14:textId="77777777" w:rsidR="005E1AB3" w:rsidRPr="005E1AB3" w:rsidRDefault="005E1AB3" w:rsidP="005E1AB3">
      <w:pPr>
        <w:pStyle w:val="mepsnormal"/>
      </w:pPr>
    </w:p>
    <w:p w14:paraId="6ECDC83A" w14:textId="77777777" w:rsidR="005E1AB3" w:rsidRPr="005E1AB3" w:rsidRDefault="005E1AB3" w:rsidP="005E1AB3">
      <w:pPr>
        <w:pStyle w:val="mepsnormal"/>
      </w:pPr>
      <w:r w:rsidRPr="005E1AB3">
        <w:t>DA57680</w:t>
      </w:r>
    </w:p>
    <w:p w14:paraId="67874424" w14:textId="77777777" w:rsidR="005E1AB3" w:rsidRPr="005E1AB3" w:rsidRDefault="005E1AB3" w:rsidP="005E1AB3">
      <w:pPr>
        <w:pStyle w:val="mepsnormal"/>
      </w:pPr>
      <w:r w:rsidRPr="005E1AB3">
        <w:t>Pg. 3/15</w:t>
      </w:r>
    </w:p>
    <w:p w14:paraId="4B4E08A5" w14:textId="77777777" w:rsidR="005E1AB3" w:rsidRPr="005E1AB3" w:rsidRDefault="005E1AB3" w:rsidP="005E1AB3">
      <w:pPr>
        <w:pStyle w:val="mepsnormal"/>
      </w:pPr>
    </w:p>
    <w:p w14:paraId="0BAE8D8B" w14:textId="77777777" w:rsidR="005E1AB3" w:rsidRPr="005E1AB3" w:rsidRDefault="005E1AB3" w:rsidP="005E1AB3">
      <w:pPr>
        <w:pStyle w:val="mepsnormal"/>
      </w:pPr>
      <w:r w:rsidRPr="005E1AB3">
        <w:t>Article Guidance</w:t>
      </w:r>
    </w:p>
    <w:p w14:paraId="4278BAAE" w14:textId="77777777" w:rsidR="005E1AB3" w:rsidRPr="005E1AB3" w:rsidRDefault="005E1AB3" w:rsidP="005E1AB3">
      <w:pPr>
        <w:pStyle w:val="mepsnormal"/>
      </w:pPr>
      <w:r w:rsidRPr="005E1AB3">
        <w:t>Coding Guidance</w:t>
      </w:r>
    </w:p>
    <w:p w14:paraId="2C9E6CFE" w14:textId="77777777" w:rsidR="005E1AB3" w:rsidRPr="005E1AB3" w:rsidRDefault="005E1AB3" w:rsidP="005E1AB3">
      <w:pPr>
        <w:pStyle w:val="mepsnormal"/>
      </w:pPr>
      <w:r w:rsidRPr="005E1AB3">
        <w:t>Application codes billed must use the appropriate modifier (e.g., RT, LT) to identify the location where the skin substitute was applied, or the service will be denied.</w:t>
      </w:r>
    </w:p>
    <w:p w14:paraId="54C82690" w14:textId="77777777" w:rsidR="005E1AB3" w:rsidRPr="005E1AB3" w:rsidRDefault="005E1AB3" w:rsidP="005E1AB3">
      <w:pPr>
        <w:pStyle w:val="mepsnormal"/>
      </w:pPr>
    </w:p>
    <w:p w14:paraId="1D7C376F" w14:textId="77777777" w:rsidR="005E1AB3" w:rsidRPr="005E1AB3" w:rsidRDefault="005E1AB3" w:rsidP="005E1AB3">
      <w:pPr>
        <w:pStyle w:val="mepsnormal"/>
      </w:pPr>
    </w:p>
    <w:p w14:paraId="41675DFD" w14:textId="77777777" w:rsidR="005E1AB3" w:rsidRPr="005E1AB3" w:rsidRDefault="005E1AB3" w:rsidP="005E1AB3">
      <w:pPr>
        <w:pStyle w:val="mepsnormal"/>
      </w:pPr>
      <w:r w:rsidRPr="005E1AB3">
        <w:t>Utilization Parameters</w:t>
      </w:r>
    </w:p>
    <w:p w14:paraId="358D8362" w14:textId="77777777" w:rsidR="005E1AB3" w:rsidRPr="005E1AB3" w:rsidRDefault="005E1AB3" w:rsidP="005E1AB3">
      <w:pPr>
        <w:pStyle w:val="mepsnormal"/>
      </w:pPr>
    </w:p>
    <w:p w14:paraId="10F62397" w14:textId="77777777" w:rsidR="005E1AB3" w:rsidRPr="005E1AB3" w:rsidRDefault="005E1AB3" w:rsidP="005E1AB3">
      <w:pPr>
        <w:pStyle w:val="mepsnormal"/>
      </w:pPr>
      <w:r w:rsidRPr="005E1AB3">
        <w:t>Application frequency must follow the product labeling. A maximum of two skin substitute graft product applications per wound will be allowed for the episode of skin replacement surgery for wound care (defined as 12-weeks from the first application of a skin substitute graft) for those products recommended per the labeling to require a second application.</w:t>
      </w:r>
    </w:p>
    <w:p w14:paraId="4DC01B4A" w14:textId="77777777" w:rsidR="005E1AB3" w:rsidRPr="005E1AB3" w:rsidRDefault="005E1AB3" w:rsidP="005E1AB3">
      <w:pPr>
        <w:pStyle w:val="mepsnormal"/>
      </w:pPr>
    </w:p>
    <w:p w14:paraId="5DE3D201" w14:textId="77777777" w:rsidR="005E1AB3" w:rsidRPr="005E1AB3" w:rsidRDefault="005E1AB3" w:rsidP="005E1AB3">
      <w:pPr>
        <w:pStyle w:val="mepsnormal"/>
      </w:pPr>
    </w:p>
    <w:p w14:paraId="07FC4E54" w14:textId="77777777" w:rsidR="005E1AB3" w:rsidRPr="005E1AB3" w:rsidRDefault="005E1AB3" w:rsidP="005E1AB3">
      <w:pPr>
        <w:pStyle w:val="mepsnormal"/>
      </w:pPr>
      <w:r w:rsidRPr="005E1AB3">
        <w:t>Pg. 12/15</w:t>
      </w:r>
    </w:p>
    <w:p w14:paraId="75559772" w14:textId="77777777" w:rsidR="005E1AB3" w:rsidRPr="005E1AB3" w:rsidRDefault="005E1AB3" w:rsidP="005E1AB3">
      <w:pPr>
        <w:pStyle w:val="mepsnormal"/>
      </w:pPr>
    </w:p>
    <w:p w14:paraId="6F9FF3B0" w14:textId="77777777" w:rsidR="005E1AB3" w:rsidRPr="005E1AB3" w:rsidRDefault="005E1AB3" w:rsidP="005E1AB3">
      <w:pPr>
        <w:pStyle w:val="mepsnormal"/>
      </w:pPr>
    </w:p>
    <w:p w14:paraId="665489C4" w14:textId="77777777" w:rsidR="005E1AB3" w:rsidRPr="005E1AB3" w:rsidRDefault="005E1AB3" w:rsidP="005E1AB3">
      <w:pPr>
        <w:pStyle w:val="mepsnormal"/>
      </w:pPr>
      <w:r w:rsidRPr="005E1AB3">
        <w:t>ICD-10-CM Codes that Support Medical Necessity</w:t>
      </w:r>
    </w:p>
    <w:p w14:paraId="54361485" w14:textId="77777777" w:rsidR="005E1AB3" w:rsidRPr="005E1AB3" w:rsidRDefault="005E1AB3" w:rsidP="005E1AB3">
      <w:pPr>
        <w:pStyle w:val="mepsnormal"/>
      </w:pPr>
    </w:p>
    <w:p w14:paraId="39BE16DF" w14:textId="77777777" w:rsidR="005E1AB3" w:rsidRPr="005E1AB3" w:rsidRDefault="005E1AB3" w:rsidP="005E1AB3">
      <w:pPr>
        <w:pStyle w:val="mepsnormal"/>
      </w:pPr>
    </w:p>
    <w:p w14:paraId="4C8039B6" w14:textId="77777777" w:rsidR="005E1AB3" w:rsidRPr="005E1AB3" w:rsidRDefault="005E1AB3" w:rsidP="005E1AB3">
      <w:pPr>
        <w:pStyle w:val="mepsnormal"/>
      </w:pPr>
      <w:r w:rsidRPr="005E1AB3">
        <w:t>Group 1</w:t>
      </w:r>
    </w:p>
    <w:p w14:paraId="6E32C6A4" w14:textId="77777777" w:rsidR="005E1AB3" w:rsidRPr="005E1AB3" w:rsidRDefault="005E1AB3" w:rsidP="005E1AB3">
      <w:pPr>
        <w:pStyle w:val="mepsnormal"/>
      </w:pPr>
      <w:r w:rsidRPr="005E1AB3">
        <w:t xml:space="preserve"> L97.5</w:t>
      </w:r>
      <w:proofErr w:type="gramStart"/>
      <w:r w:rsidRPr="005E1AB3">
        <w:t>-  Non</w:t>
      </w:r>
      <w:proofErr w:type="gramEnd"/>
      <w:r w:rsidRPr="005E1AB3">
        <w:t xml:space="preserve"> pressure chronic ulcer of foot (would include forefoot i.e. toe)</w:t>
      </w:r>
    </w:p>
    <w:p w14:paraId="2DD53009" w14:textId="03BF7A5D" w:rsidR="00F429CC" w:rsidRPr="005E1AB3" w:rsidRDefault="00F429CC" w:rsidP="005E1AB3">
      <w:pPr>
        <w:pStyle w:val="mepsnormal"/>
      </w:pPr>
    </w:p>
    <w:sectPr w:rsidR="00F429CC" w:rsidRPr="005E1A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uli">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0C3E"/>
    <w:multiLevelType w:val="hybridMultilevel"/>
    <w:tmpl w:val="CD90C0B4"/>
    <w:lvl w:ilvl="0" w:tplc="04090001">
      <w:start w:val="1"/>
      <w:numFmt w:val="bullet"/>
      <w:lvlText w:val=""/>
      <w:lvlJc w:val="left"/>
      <w:pPr>
        <w:ind w:left="1331" w:hanging="360"/>
      </w:pPr>
      <w:rPr>
        <w:rFonts w:ascii="Symbol" w:hAnsi="Symbol" w:hint="default"/>
      </w:rPr>
    </w:lvl>
    <w:lvl w:ilvl="1" w:tplc="04090003" w:tentative="1">
      <w:start w:val="1"/>
      <w:numFmt w:val="bullet"/>
      <w:lvlText w:val="o"/>
      <w:lvlJc w:val="left"/>
      <w:pPr>
        <w:ind w:left="2051" w:hanging="360"/>
      </w:pPr>
      <w:rPr>
        <w:rFonts w:ascii="Courier New" w:hAnsi="Courier New" w:cs="Courier New" w:hint="default"/>
      </w:rPr>
    </w:lvl>
    <w:lvl w:ilvl="2" w:tplc="04090005" w:tentative="1">
      <w:start w:val="1"/>
      <w:numFmt w:val="bullet"/>
      <w:lvlText w:val=""/>
      <w:lvlJc w:val="left"/>
      <w:pPr>
        <w:ind w:left="2771" w:hanging="360"/>
      </w:pPr>
      <w:rPr>
        <w:rFonts w:ascii="Wingdings" w:hAnsi="Wingdings" w:hint="default"/>
      </w:rPr>
    </w:lvl>
    <w:lvl w:ilvl="3" w:tplc="04090001" w:tentative="1">
      <w:start w:val="1"/>
      <w:numFmt w:val="bullet"/>
      <w:lvlText w:val=""/>
      <w:lvlJc w:val="left"/>
      <w:pPr>
        <w:ind w:left="3491" w:hanging="360"/>
      </w:pPr>
      <w:rPr>
        <w:rFonts w:ascii="Symbol" w:hAnsi="Symbol" w:hint="default"/>
      </w:rPr>
    </w:lvl>
    <w:lvl w:ilvl="4" w:tplc="04090003" w:tentative="1">
      <w:start w:val="1"/>
      <w:numFmt w:val="bullet"/>
      <w:lvlText w:val="o"/>
      <w:lvlJc w:val="left"/>
      <w:pPr>
        <w:ind w:left="4211" w:hanging="360"/>
      </w:pPr>
      <w:rPr>
        <w:rFonts w:ascii="Courier New" w:hAnsi="Courier New" w:cs="Courier New" w:hint="default"/>
      </w:rPr>
    </w:lvl>
    <w:lvl w:ilvl="5" w:tplc="04090005" w:tentative="1">
      <w:start w:val="1"/>
      <w:numFmt w:val="bullet"/>
      <w:lvlText w:val=""/>
      <w:lvlJc w:val="left"/>
      <w:pPr>
        <w:ind w:left="4931" w:hanging="360"/>
      </w:pPr>
      <w:rPr>
        <w:rFonts w:ascii="Wingdings" w:hAnsi="Wingdings" w:hint="default"/>
      </w:rPr>
    </w:lvl>
    <w:lvl w:ilvl="6" w:tplc="04090001" w:tentative="1">
      <w:start w:val="1"/>
      <w:numFmt w:val="bullet"/>
      <w:lvlText w:val=""/>
      <w:lvlJc w:val="left"/>
      <w:pPr>
        <w:ind w:left="5651" w:hanging="360"/>
      </w:pPr>
      <w:rPr>
        <w:rFonts w:ascii="Symbol" w:hAnsi="Symbol" w:hint="default"/>
      </w:rPr>
    </w:lvl>
    <w:lvl w:ilvl="7" w:tplc="04090003" w:tentative="1">
      <w:start w:val="1"/>
      <w:numFmt w:val="bullet"/>
      <w:lvlText w:val="o"/>
      <w:lvlJc w:val="left"/>
      <w:pPr>
        <w:ind w:left="6371" w:hanging="360"/>
      </w:pPr>
      <w:rPr>
        <w:rFonts w:ascii="Courier New" w:hAnsi="Courier New" w:cs="Courier New" w:hint="default"/>
      </w:rPr>
    </w:lvl>
    <w:lvl w:ilvl="8" w:tplc="04090005" w:tentative="1">
      <w:start w:val="1"/>
      <w:numFmt w:val="bullet"/>
      <w:lvlText w:val=""/>
      <w:lvlJc w:val="left"/>
      <w:pPr>
        <w:ind w:left="7091" w:hanging="360"/>
      </w:pPr>
      <w:rPr>
        <w:rFonts w:ascii="Wingdings" w:hAnsi="Wingdings" w:hint="default"/>
      </w:rPr>
    </w:lvl>
  </w:abstractNum>
  <w:abstractNum w:abstractNumId="1"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65178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D8C5F99"/>
    <w:multiLevelType w:val="hybridMultilevel"/>
    <w:tmpl w:val="E38E5B1E"/>
    <w:lvl w:ilvl="0" w:tplc="6A5236DC">
      <w:start w:val="6"/>
      <w:numFmt w:val="decimal"/>
      <w:lvlText w:val="%1."/>
      <w:lvlJc w:val="left"/>
      <w:pPr>
        <w:ind w:left="720" w:hanging="360"/>
      </w:pPr>
      <w:rPr>
        <w:rFonts w:cs="Muli"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1"/>
  </w:num>
  <w:num w:numId="4">
    <w:abstractNumId w:val="6"/>
  </w:num>
  <w:num w:numId="5">
    <w:abstractNumId w:val="5"/>
  </w:num>
  <w:num w:numId="6">
    <w:abstractNumId w:val="2"/>
  </w:num>
  <w:num w:numId="7">
    <w:abstractNumId w:val="7"/>
  </w:num>
  <w:num w:numId="8">
    <w:abstractNumId w:val="1"/>
  </w:num>
  <w:num w:numId="9">
    <w:abstractNumId w:val="6"/>
  </w:num>
  <w:num w:numId="10">
    <w:abstractNumId w:val="5"/>
  </w:num>
  <w:num w:numId="11">
    <w:abstractNumId w:val="2"/>
  </w:num>
  <w:num w:numId="12">
    <w:abstractNumId w:val="7"/>
  </w:num>
  <w:num w:numId="13">
    <w:abstractNumId w:val="1"/>
  </w:num>
  <w:num w:numId="14">
    <w:abstractNumId w:val="6"/>
  </w:num>
  <w:num w:numId="15">
    <w:abstractNumId w:val="5"/>
  </w:num>
  <w:num w:numId="16">
    <w:abstractNumId w:val="2"/>
  </w:num>
  <w:num w:numId="17">
    <w:abstractNumId w:val="7"/>
  </w:num>
  <w:num w:numId="18">
    <w:abstractNumId w:val="1"/>
  </w:num>
  <w:num w:numId="19">
    <w:abstractNumId w:val="6"/>
  </w:num>
  <w:num w:numId="20">
    <w:abstractNumId w:val="5"/>
  </w:num>
  <w:num w:numId="21">
    <w:abstractNumId w:val="2"/>
  </w:num>
  <w:num w:numId="22">
    <w:abstractNumId w:val="7"/>
  </w:num>
  <w:num w:numId="23">
    <w:abstractNumId w:val="1"/>
  </w:num>
  <w:num w:numId="24">
    <w:abstractNumId w:val="6"/>
  </w:num>
  <w:num w:numId="25">
    <w:abstractNumId w:val="5"/>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4"/>
  </w:num>
  <w:num w:numId="35">
    <w:abstractNumId w:val="3"/>
  </w:num>
  <w:num w:numId="3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mepsnormal"/>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40D"/>
    <w:rsid w:val="0002115F"/>
    <w:rsid w:val="000355E9"/>
    <w:rsid w:val="0006444F"/>
    <w:rsid w:val="000758C1"/>
    <w:rsid w:val="000B1646"/>
    <w:rsid w:val="000B3433"/>
    <w:rsid w:val="000B6EF3"/>
    <w:rsid w:val="000E6EB4"/>
    <w:rsid w:val="000F0EFC"/>
    <w:rsid w:val="00115B7D"/>
    <w:rsid w:val="0013335D"/>
    <w:rsid w:val="00136955"/>
    <w:rsid w:val="00143E48"/>
    <w:rsid w:val="00156224"/>
    <w:rsid w:val="00187335"/>
    <w:rsid w:val="001E2DD2"/>
    <w:rsid w:val="001F6D1F"/>
    <w:rsid w:val="0020031E"/>
    <w:rsid w:val="0023234F"/>
    <w:rsid w:val="0027039B"/>
    <w:rsid w:val="002820D2"/>
    <w:rsid w:val="00296BF6"/>
    <w:rsid w:val="002B31A8"/>
    <w:rsid w:val="002B41A5"/>
    <w:rsid w:val="002B555E"/>
    <w:rsid w:val="002B6A2F"/>
    <w:rsid w:val="003038CC"/>
    <w:rsid w:val="0031138C"/>
    <w:rsid w:val="003220C0"/>
    <w:rsid w:val="003370C7"/>
    <w:rsid w:val="003434E5"/>
    <w:rsid w:val="00355079"/>
    <w:rsid w:val="003604DA"/>
    <w:rsid w:val="00383AC0"/>
    <w:rsid w:val="00393B8E"/>
    <w:rsid w:val="003A7711"/>
    <w:rsid w:val="003C6040"/>
    <w:rsid w:val="003C77CB"/>
    <w:rsid w:val="003D4BCC"/>
    <w:rsid w:val="003F2EB2"/>
    <w:rsid w:val="003F5002"/>
    <w:rsid w:val="00407A3D"/>
    <w:rsid w:val="004135A8"/>
    <w:rsid w:val="00444FBA"/>
    <w:rsid w:val="004471F3"/>
    <w:rsid w:val="004A3596"/>
    <w:rsid w:val="004C4BE0"/>
    <w:rsid w:val="004C4ED4"/>
    <w:rsid w:val="004F171D"/>
    <w:rsid w:val="004F3523"/>
    <w:rsid w:val="005037DB"/>
    <w:rsid w:val="0050540D"/>
    <w:rsid w:val="005117AA"/>
    <w:rsid w:val="00527B93"/>
    <w:rsid w:val="0054072B"/>
    <w:rsid w:val="00544831"/>
    <w:rsid w:val="00572761"/>
    <w:rsid w:val="00575015"/>
    <w:rsid w:val="00576C39"/>
    <w:rsid w:val="005809E9"/>
    <w:rsid w:val="005877E0"/>
    <w:rsid w:val="005A36D4"/>
    <w:rsid w:val="005A7851"/>
    <w:rsid w:val="005B5424"/>
    <w:rsid w:val="005C4B0F"/>
    <w:rsid w:val="005C5156"/>
    <w:rsid w:val="005E1AB3"/>
    <w:rsid w:val="005F5AA9"/>
    <w:rsid w:val="00604464"/>
    <w:rsid w:val="006101D3"/>
    <w:rsid w:val="00615862"/>
    <w:rsid w:val="006164BE"/>
    <w:rsid w:val="00627476"/>
    <w:rsid w:val="00634101"/>
    <w:rsid w:val="00665EB6"/>
    <w:rsid w:val="006719D9"/>
    <w:rsid w:val="00692217"/>
    <w:rsid w:val="006B17C1"/>
    <w:rsid w:val="006B2597"/>
    <w:rsid w:val="006B7EF6"/>
    <w:rsid w:val="006D357C"/>
    <w:rsid w:val="006E2A09"/>
    <w:rsid w:val="006F40D8"/>
    <w:rsid w:val="0073008C"/>
    <w:rsid w:val="007339B2"/>
    <w:rsid w:val="0074551A"/>
    <w:rsid w:val="0075183C"/>
    <w:rsid w:val="007648C4"/>
    <w:rsid w:val="007652A2"/>
    <w:rsid w:val="007A5345"/>
    <w:rsid w:val="007B30E3"/>
    <w:rsid w:val="007B3E5B"/>
    <w:rsid w:val="007C281C"/>
    <w:rsid w:val="007C4EA0"/>
    <w:rsid w:val="007D25C5"/>
    <w:rsid w:val="007E6D3A"/>
    <w:rsid w:val="00805BFF"/>
    <w:rsid w:val="00812A0F"/>
    <w:rsid w:val="008212B6"/>
    <w:rsid w:val="008707D4"/>
    <w:rsid w:val="00885505"/>
    <w:rsid w:val="008A43C2"/>
    <w:rsid w:val="008A456B"/>
    <w:rsid w:val="008C194A"/>
    <w:rsid w:val="008C24B0"/>
    <w:rsid w:val="008C7237"/>
    <w:rsid w:val="008F6E03"/>
    <w:rsid w:val="00927083"/>
    <w:rsid w:val="0093272A"/>
    <w:rsid w:val="009333D8"/>
    <w:rsid w:val="00941AB3"/>
    <w:rsid w:val="00944CF9"/>
    <w:rsid w:val="00951D95"/>
    <w:rsid w:val="00955CCC"/>
    <w:rsid w:val="00983AD9"/>
    <w:rsid w:val="0098436A"/>
    <w:rsid w:val="009A0FFB"/>
    <w:rsid w:val="009A1233"/>
    <w:rsid w:val="009A4269"/>
    <w:rsid w:val="009B3885"/>
    <w:rsid w:val="009D042E"/>
    <w:rsid w:val="00A02C0C"/>
    <w:rsid w:val="00A272DC"/>
    <w:rsid w:val="00A465F7"/>
    <w:rsid w:val="00A750E8"/>
    <w:rsid w:val="00AA60EF"/>
    <w:rsid w:val="00AB62CC"/>
    <w:rsid w:val="00AD4ADC"/>
    <w:rsid w:val="00AE5ED2"/>
    <w:rsid w:val="00AE6E0A"/>
    <w:rsid w:val="00B30079"/>
    <w:rsid w:val="00B427AF"/>
    <w:rsid w:val="00B547A3"/>
    <w:rsid w:val="00B6125E"/>
    <w:rsid w:val="00B70832"/>
    <w:rsid w:val="00B75B50"/>
    <w:rsid w:val="00B847D0"/>
    <w:rsid w:val="00B8613E"/>
    <w:rsid w:val="00B93A66"/>
    <w:rsid w:val="00BC26FC"/>
    <w:rsid w:val="00BC63C5"/>
    <w:rsid w:val="00BC792E"/>
    <w:rsid w:val="00BE6C58"/>
    <w:rsid w:val="00C018C3"/>
    <w:rsid w:val="00C02E8D"/>
    <w:rsid w:val="00C0594F"/>
    <w:rsid w:val="00C119EC"/>
    <w:rsid w:val="00C25428"/>
    <w:rsid w:val="00C379F2"/>
    <w:rsid w:val="00C811B6"/>
    <w:rsid w:val="00C9086F"/>
    <w:rsid w:val="00C9332D"/>
    <w:rsid w:val="00C958B0"/>
    <w:rsid w:val="00CB74BC"/>
    <w:rsid w:val="00CC1C26"/>
    <w:rsid w:val="00CD3264"/>
    <w:rsid w:val="00CE3ABB"/>
    <w:rsid w:val="00CF617A"/>
    <w:rsid w:val="00D25032"/>
    <w:rsid w:val="00D26E37"/>
    <w:rsid w:val="00D35437"/>
    <w:rsid w:val="00D429A0"/>
    <w:rsid w:val="00D46CDF"/>
    <w:rsid w:val="00D56499"/>
    <w:rsid w:val="00D63D0A"/>
    <w:rsid w:val="00D84861"/>
    <w:rsid w:val="00DA64AF"/>
    <w:rsid w:val="00DD316F"/>
    <w:rsid w:val="00DD33FF"/>
    <w:rsid w:val="00DD3949"/>
    <w:rsid w:val="00DD4B30"/>
    <w:rsid w:val="00DF4EDC"/>
    <w:rsid w:val="00E049F9"/>
    <w:rsid w:val="00E079C4"/>
    <w:rsid w:val="00E25DFC"/>
    <w:rsid w:val="00E6324E"/>
    <w:rsid w:val="00E749FD"/>
    <w:rsid w:val="00E92138"/>
    <w:rsid w:val="00EA12C8"/>
    <w:rsid w:val="00EC4459"/>
    <w:rsid w:val="00EC667B"/>
    <w:rsid w:val="00ED33DE"/>
    <w:rsid w:val="00F141E4"/>
    <w:rsid w:val="00F429CC"/>
    <w:rsid w:val="00F44CA1"/>
    <w:rsid w:val="00F46032"/>
    <w:rsid w:val="00F61A79"/>
    <w:rsid w:val="00F915EF"/>
    <w:rsid w:val="00F95A2E"/>
    <w:rsid w:val="00FA38B6"/>
    <w:rsid w:val="00FD4C90"/>
    <w:rsid w:val="00FD6E2D"/>
    <w:rsid w:val="00FE5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CC4EB6"/>
  <w15:docId w15:val="{6487F7FB-6870-40F2-81DA-C1CD51A7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540D"/>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A272DC"/>
    <w:rPr>
      <w:rFonts w:ascii="Arial" w:hAnsi="Arial"/>
      <w:b/>
      <w:sz w:val="18"/>
    </w:rPr>
  </w:style>
  <w:style w:type="character" w:customStyle="1" w:styleId="mepsboldred">
    <w:name w:val="meps_bold_red"/>
    <w:qFormat/>
    <w:rsid w:val="00A272DC"/>
    <w:rPr>
      <w:rFonts w:ascii="Arial" w:hAnsi="Arial"/>
      <w:b/>
      <w:color w:val="FF0000"/>
      <w:sz w:val="18"/>
    </w:rPr>
  </w:style>
  <w:style w:type="paragraph" w:customStyle="1" w:styleId="mepsbulletlist">
    <w:name w:val="meps_bulletlist"/>
    <w:basedOn w:val="mepsnormal"/>
    <w:qFormat/>
    <w:rsid w:val="00A272DC"/>
    <w:pPr>
      <w:numPr>
        <w:numId w:val="21"/>
      </w:numPr>
    </w:pPr>
  </w:style>
  <w:style w:type="paragraph" w:customStyle="1" w:styleId="mepsheader">
    <w:name w:val="meps_header"/>
    <w:basedOn w:val="mepsnormal"/>
    <w:next w:val="mepsnormal"/>
    <w:qFormat/>
    <w:rsid w:val="00A272DC"/>
    <w:pPr>
      <w:spacing w:before="0" w:after="0"/>
    </w:pPr>
    <w:rPr>
      <w:b/>
      <w:sz w:val="28"/>
    </w:rPr>
  </w:style>
  <w:style w:type="paragraph" w:customStyle="1" w:styleId="mepsindentedbullet">
    <w:name w:val="meps_indented_bullet"/>
    <w:basedOn w:val="mepsbulletlist"/>
    <w:qFormat/>
    <w:rsid w:val="00A272DC"/>
    <w:pPr>
      <w:numPr>
        <w:numId w:val="22"/>
      </w:numPr>
    </w:pPr>
  </w:style>
  <w:style w:type="paragraph" w:customStyle="1" w:styleId="mepsindentednumber">
    <w:name w:val="meps_indented_number"/>
    <w:basedOn w:val="mepsnumberlist"/>
    <w:qFormat/>
    <w:rsid w:val="00A272DC"/>
    <w:pPr>
      <w:numPr>
        <w:numId w:val="23"/>
      </w:numPr>
    </w:pPr>
  </w:style>
  <w:style w:type="paragraph" w:customStyle="1" w:styleId="mepsindent">
    <w:name w:val="meps_indent"/>
    <w:basedOn w:val="mepsnormal"/>
    <w:qFormat/>
    <w:rsid w:val="00A272DC"/>
    <w:pPr>
      <w:ind w:left="720"/>
    </w:pPr>
  </w:style>
  <w:style w:type="paragraph" w:customStyle="1" w:styleId="mepsnormal">
    <w:name w:val="meps_normal"/>
    <w:link w:val="mepsnormalChar"/>
    <w:qFormat/>
    <w:rsid w:val="00A272DC"/>
    <w:pPr>
      <w:spacing w:before="120" w:after="120"/>
    </w:pPr>
    <w:rPr>
      <w:rFonts w:ascii="Arial" w:hAnsi="Arial"/>
      <w:sz w:val="18"/>
      <w:szCs w:val="24"/>
    </w:rPr>
  </w:style>
  <w:style w:type="paragraph" w:customStyle="1" w:styleId="mepsnumberlist">
    <w:name w:val="meps_numberlist"/>
    <w:basedOn w:val="mepsnormal"/>
    <w:qFormat/>
    <w:rsid w:val="00A272DC"/>
    <w:pPr>
      <w:numPr>
        <w:numId w:val="24"/>
      </w:numPr>
    </w:pPr>
  </w:style>
  <w:style w:type="character" w:customStyle="1" w:styleId="mepsitalics">
    <w:name w:val="meps_italics"/>
    <w:qFormat/>
    <w:rsid w:val="00A272DC"/>
    <w:rPr>
      <w:rFonts w:ascii="Arial" w:hAnsi="Arial"/>
      <w:i/>
      <w:sz w:val="18"/>
      <w:szCs w:val="20"/>
    </w:rPr>
  </w:style>
  <w:style w:type="paragraph" w:customStyle="1" w:styleId="mepsseparator">
    <w:name w:val="meps_separator"/>
    <w:basedOn w:val="mepsnormal"/>
    <w:next w:val="mepsnormal"/>
    <w:qFormat/>
    <w:rsid w:val="00A272DC"/>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A272DC"/>
    <w:pPr>
      <w:spacing w:before="100"/>
    </w:pPr>
    <w:rPr>
      <w:sz w:val="24"/>
      <w:szCs w:val="20"/>
    </w:rPr>
  </w:style>
  <w:style w:type="paragraph" w:customStyle="1" w:styleId="mepslink">
    <w:name w:val="meps_link"/>
    <w:basedOn w:val="mepsnormal"/>
    <w:qFormat/>
    <w:rsid w:val="00A272DC"/>
    <w:rPr>
      <w:u w:val="single"/>
    </w:rPr>
  </w:style>
  <w:style w:type="paragraph" w:customStyle="1" w:styleId="mepslinktext">
    <w:name w:val="meps_link_text"/>
    <w:basedOn w:val="mepslink"/>
    <w:qFormat/>
    <w:rsid w:val="00A272DC"/>
    <w:rPr>
      <w:u w:val="double"/>
    </w:rPr>
  </w:style>
  <w:style w:type="paragraph" w:customStyle="1" w:styleId="mepscenter">
    <w:name w:val="meps_center"/>
    <w:basedOn w:val="mepsnormal"/>
    <w:qFormat/>
    <w:rsid w:val="00A272DC"/>
    <w:pPr>
      <w:jc w:val="center"/>
    </w:pPr>
  </w:style>
  <w:style w:type="paragraph" w:customStyle="1" w:styleId="mepsright">
    <w:name w:val="meps_right"/>
    <w:basedOn w:val="mepsnormal"/>
    <w:qFormat/>
    <w:rsid w:val="00A272DC"/>
    <w:pPr>
      <w:jc w:val="right"/>
    </w:pPr>
  </w:style>
  <w:style w:type="paragraph" w:customStyle="1" w:styleId="mepssource">
    <w:name w:val="meps_source"/>
    <w:basedOn w:val="mepsnormal"/>
    <w:qFormat/>
    <w:rsid w:val="00A272DC"/>
    <w:pPr>
      <w:jc w:val="right"/>
    </w:pPr>
    <w:rPr>
      <w:i/>
      <w:szCs w:val="20"/>
    </w:rPr>
  </w:style>
  <w:style w:type="paragraph" w:customStyle="1" w:styleId="mepssmall">
    <w:name w:val="meps_small"/>
    <w:basedOn w:val="mepsnormal"/>
    <w:qFormat/>
    <w:rsid w:val="00A272DC"/>
    <w:rPr>
      <w:sz w:val="17"/>
    </w:rPr>
  </w:style>
  <w:style w:type="character" w:styleId="FollowedHyperlink">
    <w:name w:val="FollowedHyperlink"/>
    <w:rsid w:val="00A272DC"/>
    <w:rPr>
      <w:rFonts w:ascii="Arial" w:hAnsi="Arial"/>
      <w:color w:val="6699CC"/>
      <w:sz w:val="18"/>
      <w:u w:val="none"/>
    </w:rPr>
  </w:style>
  <w:style w:type="character" w:styleId="Hyperlink">
    <w:name w:val="Hyperlink"/>
    <w:qFormat/>
    <w:rsid w:val="00A272DC"/>
    <w:rPr>
      <w:rFonts w:ascii="Arial" w:hAnsi="Arial"/>
      <w:color w:val="006699"/>
      <w:sz w:val="18"/>
      <w:u w:val="none"/>
    </w:rPr>
  </w:style>
  <w:style w:type="paragraph" w:customStyle="1" w:styleId="mepssecondindent">
    <w:name w:val="meps_second_indent"/>
    <w:basedOn w:val="mepsindent"/>
    <w:qFormat/>
    <w:rsid w:val="00A272DC"/>
    <w:pPr>
      <w:ind w:left="1152"/>
    </w:pPr>
  </w:style>
  <w:style w:type="paragraph" w:customStyle="1" w:styleId="mepsthirdbullet">
    <w:name w:val="meps_third_bullet"/>
    <w:basedOn w:val="mepsindentedbullet"/>
    <w:qFormat/>
    <w:rsid w:val="00A272DC"/>
    <w:pPr>
      <w:numPr>
        <w:numId w:val="25"/>
      </w:numPr>
    </w:pPr>
  </w:style>
  <w:style w:type="paragraph" w:customStyle="1" w:styleId="mepslinktype">
    <w:name w:val="meps_link_type"/>
    <w:basedOn w:val="mepslinktext"/>
    <w:qFormat/>
    <w:rsid w:val="00A272DC"/>
    <w:rPr>
      <w:b/>
      <w:u w:val="none"/>
    </w:rPr>
  </w:style>
  <w:style w:type="paragraph" w:customStyle="1" w:styleId="mepscomment">
    <w:name w:val="meps_comment"/>
    <w:basedOn w:val="mepsnormal"/>
    <w:qFormat/>
    <w:rsid w:val="00A272DC"/>
  </w:style>
  <w:style w:type="paragraph" w:customStyle="1" w:styleId="mepsbreakout">
    <w:name w:val="meps_breakout"/>
    <w:basedOn w:val="mepsnormal"/>
    <w:qFormat/>
    <w:rsid w:val="00A272DC"/>
    <w:rPr>
      <w:b/>
      <w:i/>
      <w:sz w:val="32"/>
    </w:rPr>
  </w:style>
  <w:style w:type="paragraph" w:customStyle="1" w:styleId="mepsclose">
    <w:name w:val="meps_close"/>
    <w:basedOn w:val="mepsnormal"/>
    <w:qFormat/>
    <w:rsid w:val="00A272DC"/>
    <w:rPr>
      <w:b/>
      <w:color w:val="FF00FF"/>
      <w:sz w:val="20"/>
    </w:rPr>
  </w:style>
  <w:style w:type="character" w:customStyle="1" w:styleId="mepsnormalChar">
    <w:name w:val="meps_normal Char"/>
    <w:link w:val="mepsnormal"/>
    <w:rsid w:val="00A272DC"/>
    <w:rPr>
      <w:rFonts w:ascii="Arial" w:hAnsi="Arial"/>
      <w:sz w:val="18"/>
      <w:szCs w:val="24"/>
    </w:rPr>
  </w:style>
  <w:style w:type="paragraph" w:styleId="BalloonText">
    <w:name w:val="Balloon Text"/>
    <w:basedOn w:val="Normal"/>
    <w:semiHidden/>
    <w:rsid w:val="00A272DC"/>
    <w:pPr>
      <w:spacing w:after="0" w:line="240" w:lineRule="auto"/>
    </w:pPr>
    <w:rPr>
      <w:rFonts w:ascii="Tahoma" w:eastAsia="Times New Roman" w:hAnsi="Tahoma" w:cs="Tahoma"/>
      <w:sz w:val="16"/>
      <w:szCs w:val="16"/>
    </w:rPr>
  </w:style>
  <w:style w:type="character" w:customStyle="1" w:styleId="mepssubheaderChar">
    <w:name w:val="meps_subheader Char"/>
    <w:link w:val="mepssubheader"/>
    <w:locked/>
    <w:rsid w:val="00A272DC"/>
    <w:rPr>
      <w:rFonts w:ascii="Arial" w:hAnsi="Arial"/>
      <w:b/>
      <w:sz w:val="24"/>
    </w:rPr>
  </w:style>
  <w:style w:type="paragraph" w:customStyle="1" w:styleId="mepsheaderimage">
    <w:name w:val="meps_header_image"/>
    <w:basedOn w:val="mepsnormal"/>
    <w:next w:val="mepsnormal"/>
    <w:qFormat/>
    <w:rsid w:val="00A272DC"/>
  </w:style>
  <w:style w:type="character" w:customStyle="1" w:styleId="mepsicon">
    <w:name w:val="meps_icon"/>
    <w:qFormat/>
    <w:rsid w:val="00A272DC"/>
    <w:rPr>
      <w:rFonts w:ascii="Arial" w:hAnsi="Arial"/>
      <w:b w:val="0"/>
      <w:color w:val="FF0000"/>
      <w:sz w:val="18"/>
    </w:rPr>
  </w:style>
  <w:style w:type="paragraph" w:customStyle="1" w:styleId="Default">
    <w:name w:val="Default"/>
    <w:rsid w:val="0050540D"/>
    <w:pPr>
      <w:autoSpaceDE w:val="0"/>
      <w:autoSpaceDN w:val="0"/>
      <w:adjustRightInd w:val="0"/>
    </w:pPr>
    <w:rPr>
      <w:rFonts w:ascii="Verdana" w:eastAsiaTheme="minorHAnsi" w:hAnsi="Verdana" w:cs="Verdana"/>
      <w:color w:val="000000"/>
      <w:sz w:val="24"/>
      <w:szCs w:val="24"/>
    </w:rPr>
  </w:style>
  <w:style w:type="character" w:styleId="CommentReference">
    <w:name w:val="annotation reference"/>
    <w:basedOn w:val="DefaultParagraphFont"/>
    <w:uiPriority w:val="99"/>
    <w:semiHidden/>
    <w:unhideWhenUsed/>
    <w:rsid w:val="005E1AB3"/>
    <w:rPr>
      <w:sz w:val="16"/>
      <w:szCs w:val="16"/>
    </w:rPr>
  </w:style>
  <w:style w:type="paragraph" w:styleId="CommentText">
    <w:name w:val="annotation text"/>
    <w:basedOn w:val="Normal"/>
    <w:link w:val="CommentTextChar"/>
    <w:uiPriority w:val="99"/>
    <w:unhideWhenUsed/>
    <w:rsid w:val="005E1AB3"/>
    <w:pPr>
      <w:spacing w:after="160" w:line="240" w:lineRule="auto"/>
    </w:pPr>
    <w:rPr>
      <w:sz w:val="20"/>
      <w:szCs w:val="20"/>
    </w:rPr>
  </w:style>
  <w:style w:type="character" w:customStyle="1" w:styleId="CommentTextChar">
    <w:name w:val="Comment Text Char"/>
    <w:basedOn w:val="DefaultParagraphFont"/>
    <w:link w:val="CommentText"/>
    <w:uiPriority w:val="99"/>
    <w:rsid w:val="005E1AB3"/>
    <w:rPr>
      <w:rFonts w:asciiTheme="minorHAnsi" w:eastAsiaTheme="minorHAnsi" w:hAnsiTheme="minorHAnsi" w:cstheme="minorBidi"/>
    </w:rPr>
  </w:style>
  <w:style w:type="paragraph" w:styleId="ListParagraph">
    <w:name w:val="List Paragraph"/>
    <w:basedOn w:val="Normal"/>
    <w:uiPriority w:val="34"/>
    <w:qFormat/>
    <w:rsid w:val="005E1AB3"/>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440649">
      <w:bodyDiv w:val="1"/>
      <w:marLeft w:val="0"/>
      <w:marRight w:val="0"/>
      <w:marTop w:val="0"/>
      <w:marBottom w:val="0"/>
      <w:divBdr>
        <w:top w:val="none" w:sz="0" w:space="0" w:color="auto"/>
        <w:left w:val="none" w:sz="0" w:space="0" w:color="auto"/>
        <w:bottom w:val="none" w:sz="0" w:space="0" w:color="auto"/>
        <w:right w:val="none" w:sz="0" w:space="0" w:color="auto"/>
      </w:divBdr>
      <w:divsChild>
        <w:div w:id="46687202">
          <w:marLeft w:val="0"/>
          <w:marRight w:val="0"/>
          <w:marTop w:val="0"/>
          <w:marBottom w:val="0"/>
          <w:divBdr>
            <w:top w:val="none" w:sz="0" w:space="0" w:color="auto"/>
            <w:left w:val="none" w:sz="0" w:space="0" w:color="auto"/>
            <w:bottom w:val="none" w:sz="0" w:space="0" w:color="auto"/>
            <w:right w:val="none" w:sz="0" w:space="0" w:color="auto"/>
          </w:divBdr>
        </w:div>
        <w:div w:id="133301493">
          <w:marLeft w:val="0"/>
          <w:marRight w:val="0"/>
          <w:marTop w:val="0"/>
          <w:marBottom w:val="0"/>
          <w:divBdr>
            <w:top w:val="none" w:sz="0" w:space="0" w:color="auto"/>
            <w:left w:val="none" w:sz="0" w:space="0" w:color="auto"/>
            <w:bottom w:val="none" w:sz="0" w:space="0" w:color="auto"/>
            <w:right w:val="none" w:sz="0" w:space="0" w:color="auto"/>
          </w:divBdr>
        </w:div>
        <w:div w:id="137304383">
          <w:marLeft w:val="0"/>
          <w:marRight w:val="0"/>
          <w:marTop w:val="0"/>
          <w:marBottom w:val="0"/>
          <w:divBdr>
            <w:top w:val="none" w:sz="0" w:space="0" w:color="auto"/>
            <w:left w:val="none" w:sz="0" w:space="0" w:color="auto"/>
            <w:bottom w:val="none" w:sz="0" w:space="0" w:color="auto"/>
            <w:right w:val="none" w:sz="0" w:space="0" w:color="auto"/>
          </w:divBdr>
        </w:div>
        <w:div w:id="181476698">
          <w:marLeft w:val="0"/>
          <w:marRight w:val="0"/>
          <w:marTop w:val="0"/>
          <w:marBottom w:val="0"/>
          <w:divBdr>
            <w:top w:val="none" w:sz="0" w:space="0" w:color="auto"/>
            <w:left w:val="none" w:sz="0" w:space="0" w:color="auto"/>
            <w:bottom w:val="none" w:sz="0" w:space="0" w:color="auto"/>
            <w:right w:val="none" w:sz="0" w:space="0" w:color="auto"/>
          </w:divBdr>
        </w:div>
        <w:div w:id="622809193">
          <w:marLeft w:val="0"/>
          <w:marRight w:val="0"/>
          <w:marTop w:val="0"/>
          <w:marBottom w:val="0"/>
          <w:divBdr>
            <w:top w:val="none" w:sz="0" w:space="0" w:color="auto"/>
            <w:left w:val="none" w:sz="0" w:space="0" w:color="auto"/>
            <w:bottom w:val="none" w:sz="0" w:space="0" w:color="auto"/>
            <w:right w:val="none" w:sz="0" w:space="0" w:color="auto"/>
          </w:divBdr>
        </w:div>
        <w:div w:id="735472151">
          <w:marLeft w:val="0"/>
          <w:marRight w:val="0"/>
          <w:marTop w:val="0"/>
          <w:marBottom w:val="0"/>
          <w:divBdr>
            <w:top w:val="none" w:sz="0" w:space="0" w:color="auto"/>
            <w:left w:val="none" w:sz="0" w:space="0" w:color="auto"/>
            <w:bottom w:val="none" w:sz="0" w:space="0" w:color="auto"/>
            <w:right w:val="none" w:sz="0" w:space="0" w:color="auto"/>
          </w:divBdr>
        </w:div>
        <w:div w:id="1100176914">
          <w:marLeft w:val="0"/>
          <w:marRight w:val="0"/>
          <w:marTop w:val="0"/>
          <w:marBottom w:val="0"/>
          <w:divBdr>
            <w:top w:val="none" w:sz="0" w:space="0" w:color="auto"/>
            <w:left w:val="none" w:sz="0" w:space="0" w:color="auto"/>
            <w:bottom w:val="none" w:sz="0" w:space="0" w:color="auto"/>
            <w:right w:val="none" w:sz="0" w:space="0" w:color="auto"/>
          </w:divBdr>
        </w:div>
        <w:div w:id="1781411356">
          <w:marLeft w:val="0"/>
          <w:marRight w:val="0"/>
          <w:marTop w:val="0"/>
          <w:marBottom w:val="0"/>
          <w:divBdr>
            <w:top w:val="none" w:sz="0" w:space="0" w:color="auto"/>
            <w:left w:val="none" w:sz="0" w:space="0" w:color="auto"/>
            <w:bottom w:val="none" w:sz="0" w:space="0" w:color="auto"/>
            <w:right w:val="none" w:sz="0" w:space="0" w:color="auto"/>
          </w:divBdr>
        </w:div>
        <w:div w:id="2069261785">
          <w:marLeft w:val="0"/>
          <w:marRight w:val="0"/>
          <w:marTop w:val="0"/>
          <w:marBottom w:val="0"/>
          <w:divBdr>
            <w:top w:val="none" w:sz="0" w:space="0" w:color="auto"/>
            <w:left w:val="none" w:sz="0" w:space="0" w:color="auto"/>
            <w:bottom w:val="none" w:sz="0" w:space="0" w:color="auto"/>
            <w:right w:val="none" w:sz="0" w:space="0" w:color="auto"/>
          </w:divBdr>
        </w:div>
      </w:divsChild>
    </w:div>
    <w:div w:id="299189273">
      <w:bodyDiv w:val="1"/>
      <w:marLeft w:val="0"/>
      <w:marRight w:val="0"/>
      <w:marTop w:val="0"/>
      <w:marBottom w:val="0"/>
      <w:divBdr>
        <w:top w:val="none" w:sz="0" w:space="0" w:color="auto"/>
        <w:left w:val="none" w:sz="0" w:space="0" w:color="auto"/>
        <w:bottom w:val="none" w:sz="0" w:space="0" w:color="auto"/>
        <w:right w:val="none" w:sz="0" w:space="0" w:color="auto"/>
      </w:divBdr>
    </w:div>
    <w:div w:id="668602042">
      <w:bodyDiv w:val="1"/>
      <w:marLeft w:val="0"/>
      <w:marRight w:val="0"/>
      <w:marTop w:val="0"/>
      <w:marBottom w:val="0"/>
      <w:divBdr>
        <w:top w:val="none" w:sz="0" w:space="0" w:color="auto"/>
        <w:left w:val="none" w:sz="0" w:space="0" w:color="auto"/>
        <w:bottom w:val="none" w:sz="0" w:space="0" w:color="auto"/>
        <w:right w:val="none" w:sz="0" w:space="0" w:color="auto"/>
      </w:divBdr>
      <w:divsChild>
        <w:div w:id="340862019">
          <w:marLeft w:val="2191"/>
          <w:marRight w:val="188"/>
          <w:marTop w:val="0"/>
          <w:marBottom w:val="250"/>
          <w:divBdr>
            <w:top w:val="none" w:sz="0" w:space="0" w:color="auto"/>
            <w:left w:val="none" w:sz="0" w:space="0" w:color="auto"/>
            <w:bottom w:val="none" w:sz="0" w:space="0" w:color="auto"/>
            <w:right w:val="none" w:sz="0" w:space="0" w:color="auto"/>
          </w:divBdr>
          <w:divsChild>
            <w:div w:id="530846458">
              <w:marLeft w:val="250"/>
              <w:marRight w:val="0"/>
              <w:marTop w:val="125"/>
              <w:marBottom w:val="313"/>
              <w:divBdr>
                <w:top w:val="none" w:sz="0" w:space="0" w:color="auto"/>
                <w:left w:val="none" w:sz="0" w:space="0" w:color="auto"/>
                <w:bottom w:val="none" w:sz="0" w:space="0" w:color="auto"/>
                <w:right w:val="none" w:sz="0" w:space="0" w:color="auto"/>
              </w:divBdr>
              <w:divsChild>
                <w:div w:id="5400903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16592421">
      <w:bodyDiv w:val="1"/>
      <w:marLeft w:val="0"/>
      <w:marRight w:val="0"/>
      <w:marTop w:val="0"/>
      <w:marBottom w:val="0"/>
      <w:divBdr>
        <w:top w:val="none" w:sz="0" w:space="0" w:color="auto"/>
        <w:left w:val="none" w:sz="0" w:space="0" w:color="auto"/>
        <w:bottom w:val="none" w:sz="0" w:space="0" w:color="auto"/>
        <w:right w:val="none" w:sz="0" w:space="0" w:color="auto"/>
      </w:divBdr>
    </w:div>
    <w:div w:id="1977174445">
      <w:bodyDiv w:val="1"/>
      <w:marLeft w:val="0"/>
      <w:marRight w:val="0"/>
      <w:marTop w:val="0"/>
      <w:marBottom w:val="0"/>
      <w:divBdr>
        <w:top w:val="none" w:sz="0" w:space="0" w:color="auto"/>
        <w:left w:val="none" w:sz="0" w:space="0" w:color="auto"/>
        <w:bottom w:val="none" w:sz="0" w:space="0" w:color="auto"/>
        <w:right w:val="none" w:sz="0" w:space="0" w:color="auto"/>
      </w:divBdr>
    </w:div>
    <w:div w:id="2035955325">
      <w:bodyDiv w:val="1"/>
      <w:marLeft w:val="0"/>
      <w:marRight w:val="0"/>
      <w:marTop w:val="0"/>
      <w:marBottom w:val="0"/>
      <w:divBdr>
        <w:top w:val="none" w:sz="0" w:space="0" w:color="auto"/>
        <w:left w:val="none" w:sz="0" w:space="0" w:color="auto"/>
        <w:bottom w:val="none" w:sz="0" w:space="0" w:color="auto"/>
        <w:right w:val="none" w:sz="0" w:space="0" w:color="auto"/>
      </w:divBdr>
      <w:divsChild>
        <w:div w:id="3948343">
          <w:marLeft w:val="0"/>
          <w:marRight w:val="0"/>
          <w:marTop w:val="0"/>
          <w:marBottom w:val="0"/>
          <w:divBdr>
            <w:top w:val="none" w:sz="0" w:space="0" w:color="auto"/>
            <w:left w:val="none" w:sz="0" w:space="0" w:color="auto"/>
            <w:bottom w:val="none" w:sz="0" w:space="0" w:color="auto"/>
            <w:right w:val="none" w:sz="0" w:space="0" w:color="auto"/>
          </w:divBdr>
        </w:div>
        <w:div w:id="36050260">
          <w:marLeft w:val="0"/>
          <w:marRight w:val="0"/>
          <w:marTop w:val="0"/>
          <w:marBottom w:val="0"/>
          <w:divBdr>
            <w:top w:val="none" w:sz="0" w:space="0" w:color="auto"/>
            <w:left w:val="none" w:sz="0" w:space="0" w:color="auto"/>
            <w:bottom w:val="none" w:sz="0" w:space="0" w:color="auto"/>
            <w:right w:val="none" w:sz="0" w:space="0" w:color="auto"/>
          </w:divBdr>
        </w:div>
        <w:div w:id="45178705">
          <w:marLeft w:val="0"/>
          <w:marRight w:val="0"/>
          <w:marTop w:val="0"/>
          <w:marBottom w:val="0"/>
          <w:divBdr>
            <w:top w:val="none" w:sz="0" w:space="0" w:color="auto"/>
            <w:left w:val="none" w:sz="0" w:space="0" w:color="auto"/>
            <w:bottom w:val="none" w:sz="0" w:space="0" w:color="auto"/>
            <w:right w:val="none" w:sz="0" w:space="0" w:color="auto"/>
          </w:divBdr>
        </w:div>
        <w:div w:id="46416530">
          <w:marLeft w:val="0"/>
          <w:marRight w:val="0"/>
          <w:marTop w:val="0"/>
          <w:marBottom w:val="0"/>
          <w:divBdr>
            <w:top w:val="none" w:sz="0" w:space="0" w:color="auto"/>
            <w:left w:val="none" w:sz="0" w:space="0" w:color="auto"/>
            <w:bottom w:val="none" w:sz="0" w:space="0" w:color="auto"/>
            <w:right w:val="none" w:sz="0" w:space="0" w:color="auto"/>
          </w:divBdr>
        </w:div>
        <w:div w:id="1009404546">
          <w:marLeft w:val="0"/>
          <w:marRight w:val="0"/>
          <w:marTop w:val="0"/>
          <w:marBottom w:val="0"/>
          <w:divBdr>
            <w:top w:val="none" w:sz="0" w:space="0" w:color="auto"/>
            <w:left w:val="none" w:sz="0" w:space="0" w:color="auto"/>
            <w:bottom w:val="none" w:sz="0" w:space="0" w:color="auto"/>
            <w:right w:val="none" w:sz="0" w:space="0" w:color="auto"/>
          </w:divBdr>
        </w:div>
        <w:div w:id="1134520220">
          <w:marLeft w:val="0"/>
          <w:marRight w:val="0"/>
          <w:marTop w:val="0"/>
          <w:marBottom w:val="0"/>
          <w:divBdr>
            <w:top w:val="none" w:sz="0" w:space="0" w:color="auto"/>
            <w:left w:val="none" w:sz="0" w:space="0" w:color="auto"/>
            <w:bottom w:val="none" w:sz="0" w:space="0" w:color="auto"/>
            <w:right w:val="none" w:sz="0" w:space="0" w:color="auto"/>
          </w:divBdr>
        </w:div>
        <w:div w:id="1446079194">
          <w:marLeft w:val="0"/>
          <w:marRight w:val="0"/>
          <w:marTop w:val="0"/>
          <w:marBottom w:val="0"/>
          <w:divBdr>
            <w:top w:val="none" w:sz="0" w:space="0" w:color="auto"/>
            <w:left w:val="none" w:sz="0" w:space="0" w:color="auto"/>
            <w:bottom w:val="none" w:sz="0" w:space="0" w:color="auto"/>
            <w:right w:val="none" w:sz="0" w:space="0" w:color="auto"/>
          </w:divBdr>
        </w:div>
        <w:div w:id="1449861399">
          <w:marLeft w:val="0"/>
          <w:marRight w:val="0"/>
          <w:marTop w:val="0"/>
          <w:marBottom w:val="0"/>
          <w:divBdr>
            <w:top w:val="none" w:sz="0" w:space="0" w:color="auto"/>
            <w:left w:val="none" w:sz="0" w:space="0" w:color="auto"/>
            <w:bottom w:val="none" w:sz="0" w:space="0" w:color="auto"/>
            <w:right w:val="none" w:sz="0" w:space="0" w:color="auto"/>
          </w:divBdr>
        </w:div>
        <w:div w:id="1724253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H:\Web%20Content%20ID%20Folder\Nov%2012%20OM%20post\OM%20Post%20Mtg%20Webpages\presentations\MEPS%202013%20STYLE%20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MEPS 2013 STYLE SET.dotx</Template>
  <TotalTime>0</TotalTime>
  <Pages>4</Pages>
  <Words>1143</Words>
  <Characters>7009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HIPAA 5010 webcast: Are You Ready to Test?</vt:lpstr>
    </vt:vector>
  </TitlesOfParts>
  <Company>FCSO</Company>
  <LinksUpToDate>false</LinksUpToDate>
  <CharactersWithSpaces>8136</CharactersWithSpaces>
  <SharedDoc>false</SharedDoc>
  <HyperlinkBase>http://medicare.fcso.com</HyperlinkBase>
  <HLinks>
    <vt:vector size="18" baseType="variant">
      <vt:variant>
        <vt:i4>6946866</vt:i4>
      </vt:variant>
      <vt:variant>
        <vt:i4>6</vt:i4>
      </vt:variant>
      <vt:variant>
        <vt:i4>0</vt:i4>
      </vt:variant>
      <vt:variant>
        <vt:i4>5</vt:i4>
      </vt:variant>
      <vt:variant>
        <vt:lpwstr>/Wrapped/153776.asp</vt:lpwstr>
      </vt:variant>
      <vt:variant>
        <vt:lpwstr/>
      </vt:variant>
      <vt:variant>
        <vt:i4>7077938</vt:i4>
      </vt:variant>
      <vt:variant>
        <vt:i4>3</vt:i4>
      </vt:variant>
      <vt:variant>
        <vt:i4>0</vt:i4>
      </vt:variant>
      <vt:variant>
        <vt:i4>5</vt:i4>
      </vt:variant>
      <vt:variant>
        <vt:lpwstr>/wrapped/142808.asp</vt:lpwstr>
      </vt:variant>
      <vt:variant>
        <vt:lpwstr/>
      </vt:variant>
      <vt:variant>
        <vt:i4>7077993</vt:i4>
      </vt:variant>
      <vt:variant>
        <vt:i4>0</vt:i4>
      </vt:variant>
      <vt:variant>
        <vt:i4>0</vt:i4>
      </vt:variant>
      <vt:variant>
        <vt:i4>5</vt:i4>
      </vt:variant>
      <vt:variant>
        <vt:lpwstr>https://gm1.geolearning.com/geonext/fcso/coursesummary.CourseCatalog.geo?selectTab=Scheduled+Classes&amp;id=22505878439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5010 webcast: Are You Ready to Test?</dc:title>
  <dc:subject>HIPAA 5010 webcast: Are You Ready to Test?</dc:subject>
  <dc:creator>McKenzie, Monica</dc:creator>
  <cp:lastModifiedBy>McKenzie, Monica</cp:lastModifiedBy>
  <cp:revision>2</cp:revision>
  <cp:lastPrinted>2011-04-04T20:08:00Z</cp:lastPrinted>
  <dcterms:created xsi:type="dcterms:W3CDTF">2022-06-09T21:44:00Z</dcterms:created>
  <dcterms:modified xsi:type="dcterms:W3CDTF">2022-06-09T21:44:00Z</dcterms:modified>
</cp:coreProperties>
</file>