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EA73" w14:textId="77777777" w:rsidR="00F53EF5" w:rsidRPr="00F53EF5" w:rsidRDefault="00F53EF5" w:rsidP="00F53EF5">
      <w:pPr>
        <w:rPr>
          <w:b/>
          <w:bCs/>
        </w:rPr>
      </w:pPr>
      <w:bookmarkStart w:id="0" w:name="_Hlk185243414"/>
      <w:r w:rsidRPr="00F53EF5">
        <w:rPr>
          <w:b/>
          <w:bCs/>
        </w:rPr>
        <w:t xml:space="preserve">Preliminary 2026 Part B reimbursement fees: Transportation of portable x-ray equipment (R0070/R0075) </w:t>
      </w:r>
    </w:p>
    <w:p w14:paraId="54BF38CF" w14:textId="77777777" w:rsidR="00F53EF5" w:rsidRPr="00F53EF5" w:rsidRDefault="00F53EF5" w:rsidP="00F53EF5">
      <w:r w:rsidRPr="00F53EF5">
        <w:t xml:space="preserve">The states in the First Coast jurisdiction of JN did not have an adequate response from their surveys. As a result, to provide consistency across all states in the First Coast jurisdictions, the proposed prices for R0070 and R0075 are increased using the proposed 2026 Ambulance Inflation Factor of 2 percent. </w:t>
      </w:r>
    </w:p>
    <w:p w14:paraId="46F340C7" w14:textId="77777777" w:rsidR="00F53EF5" w:rsidRPr="00F53EF5" w:rsidRDefault="00F53EF5" w:rsidP="00F53EF5">
      <w:r w:rsidRPr="00F53EF5">
        <w:t xml:space="preserve">We will be accepting comments until October 30, 2025, at: </w:t>
      </w:r>
      <w:hyperlink r:id="rId4" w:history="1">
        <w:r w:rsidRPr="00F53EF5">
          <w:rPr>
            <w:rStyle w:val="Hyperlink"/>
          </w:rPr>
          <w:t>Pricing@guidewellsource.com</w:t>
        </w:r>
      </w:hyperlink>
      <w:r w:rsidRPr="00F53EF5">
        <w:t xml:space="preserve">. Comments received after this date will not be considered. </w:t>
      </w:r>
    </w:p>
    <w:bookmarkEnd w:id="0"/>
    <w:p w14:paraId="7D08FB7D" w14:textId="77777777" w:rsidR="00F53EF5" w:rsidRPr="00F53EF5" w:rsidRDefault="00F53EF5" w:rsidP="00F53EF5">
      <w:pPr>
        <w:rPr>
          <w:b/>
          <w:bCs/>
        </w:rPr>
      </w:pPr>
      <w:r w:rsidRPr="00F53EF5">
        <w:rPr>
          <w:b/>
          <w:bCs/>
        </w:rPr>
        <w:t>Effective January 1, 2026, through December 31, 2026</w:t>
      </w:r>
    </w:p>
    <w:p w14:paraId="5CA4EB83" w14:textId="77777777" w:rsidR="00F53EF5" w:rsidRPr="00F53EF5" w:rsidRDefault="00F53EF5" w:rsidP="00F53EF5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05"/>
        <w:gridCol w:w="1870"/>
        <w:gridCol w:w="1870"/>
        <w:gridCol w:w="2395"/>
      </w:tblGrid>
      <w:tr w:rsidR="00F53EF5" w:rsidRPr="00F53EF5" w14:paraId="7D766E98" w14:textId="77777777" w:rsidTr="00F53EF5">
        <w:trPr>
          <w:jc w:val="center"/>
        </w:trPr>
        <w:tc>
          <w:tcPr>
            <w:tcW w:w="2505" w:type="dxa"/>
          </w:tcPr>
          <w:p w14:paraId="3DEBD93B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State</w:t>
            </w:r>
          </w:p>
        </w:tc>
        <w:tc>
          <w:tcPr>
            <w:tcW w:w="1870" w:type="dxa"/>
          </w:tcPr>
          <w:p w14:paraId="1BF981B4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Current Allowance</w:t>
            </w:r>
          </w:p>
        </w:tc>
        <w:tc>
          <w:tcPr>
            <w:tcW w:w="1870" w:type="dxa"/>
          </w:tcPr>
          <w:p w14:paraId="4DF1A4FD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2026 Allowance</w:t>
            </w:r>
          </w:p>
        </w:tc>
        <w:tc>
          <w:tcPr>
            <w:tcW w:w="2395" w:type="dxa"/>
          </w:tcPr>
          <w:p w14:paraId="4A536C81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Survey Response Rate</w:t>
            </w:r>
          </w:p>
        </w:tc>
      </w:tr>
      <w:tr w:rsidR="00F53EF5" w:rsidRPr="00F53EF5" w14:paraId="700F252F" w14:textId="77777777" w:rsidTr="00F53EF5">
        <w:trPr>
          <w:jc w:val="center"/>
        </w:trPr>
        <w:tc>
          <w:tcPr>
            <w:tcW w:w="2505" w:type="dxa"/>
          </w:tcPr>
          <w:p w14:paraId="437DC656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Florida</w:t>
            </w:r>
          </w:p>
        </w:tc>
        <w:tc>
          <w:tcPr>
            <w:tcW w:w="1870" w:type="dxa"/>
          </w:tcPr>
          <w:p w14:paraId="4B2EBAAA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$151.61</w:t>
            </w:r>
          </w:p>
        </w:tc>
        <w:tc>
          <w:tcPr>
            <w:tcW w:w="1870" w:type="dxa"/>
          </w:tcPr>
          <w:p w14:paraId="5ABBFB66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$154.64</w:t>
            </w:r>
          </w:p>
        </w:tc>
        <w:tc>
          <w:tcPr>
            <w:tcW w:w="2395" w:type="dxa"/>
          </w:tcPr>
          <w:p w14:paraId="78A86A9E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22.2%</w:t>
            </w:r>
          </w:p>
        </w:tc>
      </w:tr>
      <w:tr w:rsidR="00F53EF5" w:rsidRPr="00F53EF5" w14:paraId="6AD21AC8" w14:textId="77777777" w:rsidTr="00F53EF5">
        <w:trPr>
          <w:jc w:val="center"/>
        </w:trPr>
        <w:tc>
          <w:tcPr>
            <w:tcW w:w="2505" w:type="dxa"/>
          </w:tcPr>
          <w:p w14:paraId="10126A99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Puerto Rico</w:t>
            </w:r>
          </w:p>
        </w:tc>
        <w:tc>
          <w:tcPr>
            <w:tcW w:w="1870" w:type="dxa"/>
          </w:tcPr>
          <w:p w14:paraId="2D902010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$151.61</w:t>
            </w:r>
          </w:p>
        </w:tc>
        <w:tc>
          <w:tcPr>
            <w:tcW w:w="1870" w:type="dxa"/>
          </w:tcPr>
          <w:p w14:paraId="0D2ACD4C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$154.64</w:t>
            </w:r>
          </w:p>
        </w:tc>
        <w:tc>
          <w:tcPr>
            <w:tcW w:w="2395" w:type="dxa"/>
          </w:tcPr>
          <w:p w14:paraId="3E129B06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0%</w:t>
            </w:r>
          </w:p>
        </w:tc>
      </w:tr>
      <w:tr w:rsidR="00F53EF5" w:rsidRPr="00F53EF5" w14:paraId="6944E125" w14:textId="77777777" w:rsidTr="00F53EF5">
        <w:trPr>
          <w:jc w:val="center"/>
        </w:trPr>
        <w:tc>
          <w:tcPr>
            <w:tcW w:w="2505" w:type="dxa"/>
          </w:tcPr>
          <w:p w14:paraId="195A5030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U.S. Virgin Island</w:t>
            </w:r>
          </w:p>
        </w:tc>
        <w:tc>
          <w:tcPr>
            <w:tcW w:w="1870" w:type="dxa"/>
          </w:tcPr>
          <w:p w14:paraId="38C2F9B6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$151.61</w:t>
            </w:r>
          </w:p>
        </w:tc>
        <w:tc>
          <w:tcPr>
            <w:tcW w:w="1870" w:type="dxa"/>
          </w:tcPr>
          <w:p w14:paraId="2AF27E68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$154.64</w:t>
            </w:r>
          </w:p>
        </w:tc>
        <w:tc>
          <w:tcPr>
            <w:tcW w:w="2395" w:type="dxa"/>
          </w:tcPr>
          <w:p w14:paraId="33E8139B" w14:textId="77777777" w:rsidR="00F53EF5" w:rsidRPr="00F53EF5" w:rsidRDefault="00F53EF5" w:rsidP="00F53EF5">
            <w:pPr>
              <w:spacing w:after="160" w:line="259" w:lineRule="auto"/>
            </w:pPr>
            <w:r w:rsidRPr="00F53EF5">
              <w:t>0%</w:t>
            </w:r>
          </w:p>
        </w:tc>
      </w:tr>
    </w:tbl>
    <w:p w14:paraId="62B2ADF0" w14:textId="77777777" w:rsidR="00E6096B" w:rsidRDefault="00E6096B"/>
    <w:sectPr w:rsidR="00E60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F5"/>
    <w:rsid w:val="00496DC4"/>
    <w:rsid w:val="00E6096B"/>
    <w:rsid w:val="00EA7D36"/>
    <w:rsid w:val="00F53EF5"/>
    <w:rsid w:val="00F8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A156"/>
  <w15:chartTrackingRefBased/>
  <w15:docId w15:val="{7BE56938-84CF-4F95-B663-12EE83CB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E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3E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cing@guidewellsou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GuideWell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Jacqueline</dc:creator>
  <cp:keywords/>
  <dc:description/>
  <cp:lastModifiedBy>Dunn, Jacqueline</cp:lastModifiedBy>
  <cp:revision>1</cp:revision>
  <dcterms:created xsi:type="dcterms:W3CDTF">2025-09-30T14:32:00Z</dcterms:created>
  <dcterms:modified xsi:type="dcterms:W3CDTF">2025-09-30T14:34:00Z</dcterms:modified>
</cp:coreProperties>
</file>